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98802900"/>
    <w:bookmarkStart w:id="1" w:name="_MON_1298812715"/>
    <w:bookmarkStart w:id="2" w:name="_MON_1301205403"/>
    <w:bookmarkStart w:id="3" w:name="_MON_1301824172"/>
    <w:bookmarkStart w:id="4" w:name="_MON_1311509451"/>
    <w:bookmarkStart w:id="5" w:name="_MON_1316342740"/>
    <w:bookmarkStart w:id="6" w:name="_MON_1316349045"/>
    <w:bookmarkStart w:id="7" w:name="_MON_1331550365"/>
    <w:bookmarkStart w:id="8" w:name="_MON_1331550526"/>
    <w:bookmarkStart w:id="9" w:name="_MON_1331554840"/>
    <w:bookmarkStart w:id="10" w:name="_MON_1332842392"/>
    <w:bookmarkStart w:id="11" w:name="_MON_1347717607"/>
    <w:bookmarkStart w:id="12" w:name="_MON_1347798533"/>
    <w:bookmarkStart w:id="13" w:name="_MON_1347798607"/>
    <w:bookmarkStart w:id="14" w:name="_MON_1347798611"/>
    <w:bookmarkStart w:id="15" w:name="_MON_1349180604"/>
    <w:bookmarkStart w:id="16" w:name="_MON_1356941576"/>
    <w:bookmarkStart w:id="17" w:name="_MON_1356944077"/>
    <w:bookmarkStart w:id="18" w:name="_MON_1363458410"/>
    <w:bookmarkStart w:id="19" w:name="_MON_1363508289"/>
    <w:bookmarkStart w:id="20" w:name="_MON_1365422852"/>
    <w:bookmarkStart w:id="21" w:name="_MON_1060504617"/>
    <w:bookmarkStart w:id="22" w:name="_MON_1407134609"/>
    <w:bookmarkStart w:id="23" w:name="_MON_1060504966"/>
    <w:bookmarkStart w:id="24" w:name="_MON_1061289939"/>
    <w:bookmarkStart w:id="25" w:name="_MON_1062566181"/>
    <w:bookmarkStart w:id="26" w:name="_MON_1063107019"/>
    <w:bookmarkStart w:id="27" w:name="_MON_1279095404"/>
    <w:bookmarkStart w:id="28" w:name="_MON_1279095417"/>
    <w:bookmarkStart w:id="29" w:name="_MON_1279096305"/>
    <w:bookmarkStart w:id="30" w:name="_MON_1279097493"/>
    <w:bookmarkStart w:id="31" w:name="_MON_1279432193"/>
    <w:bookmarkStart w:id="32" w:name="_MON_1279434020"/>
    <w:bookmarkStart w:id="33" w:name="_MON_1282384319"/>
    <w:bookmarkStart w:id="34" w:name="_MON_1407931798"/>
    <w:bookmarkStart w:id="35" w:name="_MON_1282384637"/>
    <w:bookmarkStart w:id="36" w:name="_Toc414346382"/>
    <w:bookmarkStart w:id="37" w:name="_Toc5238167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Start w:id="38" w:name="_MON_1289309353"/>
    <w:bookmarkEnd w:id="38"/>
    <w:p w:rsidR="00035167" w:rsidRDefault="00035167" w:rsidP="00035167">
      <w:pPr>
        <w:spacing w:before="120" w:after="120"/>
      </w:pPr>
      <w:r w:rsidRPr="00CA5532">
        <w:rPr>
          <w:sz w:val="20"/>
        </w:rPr>
        <w:object w:dxaOrig="10699" w:dyaOrig="16176">
          <v:shape id="_x0000_i1025" type="#_x0000_t75" style="width:432.45pt;height:647.05pt" o:ole="">
            <v:imagedata r:id="rId9" o:title="" cropbottom="2280f"/>
          </v:shape>
          <o:OLEObject Type="Embed" ProgID="Word.Picture.8" ShapeID="_x0000_i1025" DrawAspect="Content" ObjectID="_1488964336" r:id="rId10"/>
        </w:object>
      </w:r>
    </w:p>
    <w:p w:rsidR="00035167" w:rsidRDefault="00035167" w:rsidP="00035167"/>
    <w:p w:rsidR="00035167" w:rsidRPr="00035167" w:rsidRDefault="00035167" w:rsidP="00035167">
      <w:pPr>
        <w:pStyle w:val="NoHeading1"/>
        <w:spacing w:before="120" w:after="120"/>
        <w:rPr>
          <w:rFonts w:ascii="Calibri" w:hAnsi="Calibri" w:cs="Calibri"/>
          <w:color w:val="31849B"/>
          <w:sz w:val="40"/>
          <w:szCs w:val="40"/>
        </w:rPr>
      </w:pPr>
      <w:r>
        <w:br w:type="page"/>
      </w:r>
      <w:bookmarkStart w:id="39" w:name="_Toc414346868"/>
      <w:bookmarkStart w:id="40" w:name="_Toc414347035"/>
      <w:bookmarkStart w:id="41" w:name="_Toc414350742"/>
      <w:bookmarkStart w:id="42" w:name="_Toc414351461"/>
      <w:bookmarkStart w:id="43" w:name="_Toc414351560"/>
      <w:bookmarkStart w:id="44" w:name="_Toc414521944"/>
      <w:bookmarkStart w:id="45" w:name="_Toc414522245"/>
      <w:bookmarkStart w:id="46" w:name="_Toc414522770"/>
      <w:r w:rsidRPr="006776C1">
        <w:rPr>
          <w:rFonts w:ascii="Calibri" w:hAnsi="Calibri" w:cs="Calibri"/>
          <w:color w:val="31849B"/>
          <w:sz w:val="40"/>
          <w:szCs w:val="40"/>
        </w:rPr>
        <w:t>Contents</w:t>
      </w:r>
      <w:bookmarkEnd w:id="39"/>
      <w:bookmarkEnd w:id="40"/>
      <w:bookmarkEnd w:id="41"/>
      <w:bookmarkEnd w:id="42"/>
      <w:bookmarkEnd w:id="43"/>
      <w:bookmarkEnd w:id="44"/>
      <w:bookmarkEnd w:id="45"/>
      <w:bookmarkEnd w:id="46"/>
    </w:p>
    <w:p w:rsidR="00887E60" w:rsidRDefault="00035167">
      <w:pPr>
        <w:pStyle w:val="TOC1"/>
        <w:rPr>
          <w:rFonts w:asciiTheme="minorHAnsi" w:eastAsiaTheme="minorEastAsia" w:hAnsiTheme="minorHAnsi" w:cstheme="minorBidi"/>
          <w:noProof/>
          <w:lang w:val="en-NZ" w:eastAsia="en-NZ"/>
        </w:rPr>
      </w:pPr>
      <w:r>
        <w:fldChar w:fldCharType="begin"/>
      </w:r>
      <w:r>
        <w:instrText xml:space="preserve"> TOC \o "1-3" \h \z \u </w:instrText>
      </w:r>
      <w:r>
        <w:fldChar w:fldCharType="separate"/>
      </w:r>
    </w:p>
    <w:p w:rsidR="00887E60" w:rsidRDefault="001167BD">
      <w:pPr>
        <w:pStyle w:val="TOC1"/>
        <w:rPr>
          <w:rFonts w:asciiTheme="minorHAnsi" w:eastAsiaTheme="minorEastAsia" w:hAnsiTheme="minorHAnsi" w:cstheme="minorBidi"/>
          <w:noProof/>
          <w:lang w:val="en-NZ" w:eastAsia="en-NZ"/>
        </w:rPr>
      </w:pPr>
      <w:hyperlink w:anchor="_Toc414522771" w:history="1">
        <w:r w:rsidR="00887E60" w:rsidRPr="006E1F2E">
          <w:rPr>
            <w:rStyle w:val="Hyperlink"/>
            <w:noProof/>
          </w:rPr>
          <w:t>Section 1:</w:t>
        </w:r>
        <w:r w:rsidR="00887E60">
          <w:rPr>
            <w:rFonts w:asciiTheme="minorHAnsi" w:eastAsiaTheme="minorEastAsia" w:hAnsiTheme="minorHAnsi" w:cstheme="minorBidi"/>
            <w:noProof/>
            <w:lang w:val="en-NZ" w:eastAsia="en-NZ"/>
          </w:rPr>
          <w:tab/>
        </w:r>
        <w:r w:rsidR="00887E60" w:rsidRPr="006E1F2E">
          <w:rPr>
            <w:rStyle w:val="Hyperlink"/>
            <w:noProof/>
          </w:rPr>
          <w:t>Legislation</w:t>
        </w:r>
        <w:r w:rsidR="00887E60">
          <w:rPr>
            <w:noProof/>
            <w:webHidden/>
          </w:rPr>
          <w:tab/>
        </w:r>
        <w:r w:rsidR="00887E60">
          <w:rPr>
            <w:noProof/>
            <w:webHidden/>
          </w:rPr>
          <w:fldChar w:fldCharType="begin"/>
        </w:r>
        <w:r w:rsidR="00887E60">
          <w:rPr>
            <w:noProof/>
            <w:webHidden/>
          </w:rPr>
          <w:instrText xml:space="preserve"> PAGEREF _Toc414522771 \h </w:instrText>
        </w:r>
        <w:r w:rsidR="00887E60">
          <w:rPr>
            <w:noProof/>
            <w:webHidden/>
          </w:rPr>
        </w:r>
        <w:r w:rsidR="00887E60">
          <w:rPr>
            <w:noProof/>
            <w:webHidden/>
          </w:rPr>
          <w:fldChar w:fldCharType="separate"/>
        </w:r>
        <w:r w:rsidR="00466B81">
          <w:rPr>
            <w:noProof/>
            <w:webHidden/>
          </w:rPr>
          <w:t>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2" w:history="1">
        <w:r w:rsidR="00887E60" w:rsidRPr="006E1F2E">
          <w:rPr>
            <w:rStyle w:val="Hyperlink"/>
            <w:noProof/>
          </w:rPr>
          <w:t>1.1</w:t>
        </w:r>
        <w:r w:rsidR="00887E60">
          <w:rPr>
            <w:rFonts w:asciiTheme="minorHAnsi" w:eastAsiaTheme="minorEastAsia" w:hAnsiTheme="minorHAnsi" w:cstheme="minorBidi"/>
            <w:noProof/>
            <w:lang w:val="en-NZ" w:eastAsia="en-NZ"/>
          </w:rPr>
          <w:tab/>
        </w:r>
        <w:r w:rsidR="00887E60" w:rsidRPr="006E1F2E">
          <w:rPr>
            <w:rStyle w:val="Hyperlink"/>
            <w:noProof/>
          </w:rPr>
          <w:t>Legislation relating to pharmacovigilance</w:t>
        </w:r>
        <w:r w:rsidR="00887E60">
          <w:rPr>
            <w:noProof/>
            <w:webHidden/>
          </w:rPr>
          <w:tab/>
        </w:r>
        <w:r w:rsidR="00887E60">
          <w:rPr>
            <w:noProof/>
            <w:webHidden/>
          </w:rPr>
          <w:fldChar w:fldCharType="begin"/>
        </w:r>
        <w:r w:rsidR="00887E60">
          <w:rPr>
            <w:noProof/>
            <w:webHidden/>
          </w:rPr>
          <w:instrText xml:space="preserve"> PAGEREF _Toc414522772 \h </w:instrText>
        </w:r>
        <w:r w:rsidR="00887E60">
          <w:rPr>
            <w:noProof/>
            <w:webHidden/>
          </w:rPr>
        </w:r>
        <w:r w:rsidR="00887E60">
          <w:rPr>
            <w:noProof/>
            <w:webHidden/>
          </w:rPr>
          <w:fldChar w:fldCharType="separate"/>
        </w:r>
        <w:r w:rsidR="00466B81">
          <w:rPr>
            <w:noProof/>
            <w:webHidden/>
          </w:rPr>
          <w:t>5</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773" w:history="1">
        <w:r w:rsidR="00887E60" w:rsidRPr="006E1F2E">
          <w:rPr>
            <w:rStyle w:val="Hyperlink"/>
            <w:noProof/>
          </w:rPr>
          <w:t>Section 2:</w:t>
        </w:r>
        <w:r w:rsidR="00887E60">
          <w:rPr>
            <w:rFonts w:asciiTheme="minorHAnsi" w:eastAsiaTheme="minorEastAsia" w:hAnsiTheme="minorHAnsi" w:cstheme="minorBidi"/>
            <w:noProof/>
            <w:lang w:val="en-NZ" w:eastAsia="en-NZ"/>
          </w:rPr>
          <w:tab/>
        </w:r>
        <w:r w:rsidR="00887E60" w:rsidRPr="006E1F2E">
          <w:rPr>
            <w:rStyle w:val="Hyperlink"/>
            <w:noProof/>
          </w:rPr>
          <w:t>Roles and Responsibilities</w:t>
        </w:r>
        <w:r w:rsidR="00887E60">
          <w:rPr>
            <w:noProof/>
            <w:webHidden/>
          </w:rPr>
          <w:tab/>
        </w:r>
        <w:r w:rsidR="00887E60">
          <w:rPr>
            <w:noProof/>
            <w:webHidden/>
          </w:rPr>
          <w:fldChar w:fldCharType="begin"/>
        </w:r>
        <w:r w:rsidR="00887E60">
          <w:rPr>
            <w:noProof/>
            <w:webHidden/>
          </w:rPr>
          <w:instrText xml:space="preserve"> PAGEREF _Toc414522773 \h </w:instrText>
        </w:r>
        <w:r w:rsidR="00887E60">
          <w:rPr>
            <w:noProof/>
            <w:webHidden/>
          </w:rPr>
        </w:r>
        <w:r w:rsidR="00887E60">
          <w:rPr>
            <w:noProof/>
            <w:webHidden/>
          </w:rPr>
          <w:fldChar w:fldCharType="separate"/>
        </w:r>
        <w:r w:rsidR="00466B81">
          <w:rPr>
            <w:noProof/>
            <w:webHidden/>
          </w:rPr>
          <w:t>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4" w:history="1">
        <w:r w:rsidR="00887E60" w:rsidRPr="006E1F2E">
          <w:rPr>
            <w:rStyle w:val="Hyperlink"/>
            <w:noProof/>
          </w:rPr>
          <w:t>2.1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_Toc414522774 \h </w:instrText>
        </w:r>
        <w:r w:rsidR="00887E60">
          <w:rPr>
            <w:noProof/>
            <w:webHidden/>
          </w:rPr>
        </w:r>
        <w:r w:rsidR="00887E60">
          <w:rPr>
            <w:noProof/>
            <w:webHidden/>
          </w:rPr>
          <w:fldChar w:fldCharType="separate"/>
        </w:r>
        <w:r w:rsidR="00466B81">
          <w:rPr>
            <w:noProof/>
            <w:webHidden/>
          </w:rPr>
          <w:t>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5" w:history="1">
        <w:r w:rsidR="00887E60" w:rsidRPr="006E1F2E">
          <w:rPr>
            <w:rStyle w:val="Hyperlink"/>
            <w:noProof/>
          </w:rPr>
          <w:t>2.2</w:t>
        </w:r>
        <w:r w:rsidR="00887E60">
          <w:rPr>
            <w:rFonts w:asciiTheme="minorHAnsi" w:eastAsiaTheme="minorEastAsia" w:hAnsiTheme="minorHAnsi" w:cstheme="minorBidi"/>
            <w:noProof/>
            <w:lang w:val="en-NZ" w:eastAsia="en-NZ"/>
          </w:rPr>
          <w:tab/>
        </w:r>
        <w:r w:rsidR="00887E60" w:rsidRPr="006E1F2E">
          <w:rPr>
            <w:rStyle w:val="Hyperlink"/>
            <w:noProof/>
          </w:rPr>
          <w:t>Role of the Regulator</w:t>
        </w:r>
        <w:r w:rsidR="00887E60">
          <w:rPr>
            <w:noProof/>
            <w:webHidden/>
          </w:rPr>
          <w:tab/>
        </w:r>
        <w:r w:rsidR="00887E60">
          <w:rPr>
            <w:noProof/>
            <w:webHidden/>
          </w:rPr>
          <w:fldChar w:fldCharType="begin"/>
        </w:r>
        <w:r w:rsidR="00887E60">
          <w:rPr>
            <w:noProof/>
            <w:webHidden/>
          </w:rPr>
          <w:instrText xml:space="preserve"> PAGEREF _Toc414522775 \h </w:instrText>
        </w:r>
        <w:r w:rsidR="00887E60">
          <w:rPr>
            <w:noProof/>
            <w:webHidden/>
          </w:rPr>
        </w:r>
        <w:r w:rsidR="00887E60">
          <w:rPr>
            <w:noProof/>
            <w:webHidden/>
          </w:rPr>
          <w:fldChar w:fldCharType="separate"/>
        </w:r>
        <w:r w:rsidR="00466B81">
          <w:rPr>
            <w:noProof/>
            <w:webHidden/>
          </w:rPr>
          <w:t>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6" w:history="1">
        <w:r w:rsidR="00887E60" w:rsidRPr="006E1F2E">
          <w:rPr>
            <w:rStyle w:val="Hyperlink"/>
            <w:noProof/>
          </w:rPr>
          <w:t>2.2.1</w:t>
        </w:r>
        <w:r w:rsidR="00887E60">
          <w:rPr>
            <w:rFonts w:asciiTheme="minorHAnsi" w:eastAsiaTheme="minorEastAsia" w:hAnsiTheme="minorHAnsi" w:cstheme="minorBidi"/>
            <w:noProof/>
            <w:lang w:val="en-NZ" w:eastAsia="en-NZ"/>
          </w:rPr>
          <w:tab/>
        </w:r>
        <w:r w:rsidR="00887E60" w:rsidRPr="006E1F2E">
          <w:rPr>
            <w:rStyle w:val="Hyperlink"/>
            <w:noProof/>
          </w:rPr>
          <w:t>Statutory Benefit-Risk Review</w:t>
        </w:r>
        <w:r w:rsidR="00887E60">
          <w:rPr>
            <w:noProof/>
            <w:webHidden/>
          </w:rPr>
          <w:tab/>
        </w:r>
        <w:r w:rsidR="00887E60">
          <w:rPr>
            <w:noProof/>
            <w:webHidden/>
          </w:rPr>
          <w:fldChar w:fldCharType="begin"/>
        </w:r>
        <w:r w:rsidR="00887E60">
          <w:rPr>
            <w:noProof/>
            <w:webHidden/>
          </w:rPr>
          <w:instrText xml:space="preserve"> PAGEREF _Toc414522776 \h </w:instrText>
        </w:r>
        <w:r w:rsidR="00887E60">
          <w:rPr>
            <w:noProof/>
            <w:webHidden/>
          </w:rPr>
        </w:r>
        <w:r w:rsidR="00887E60">
          <w:rPr>
            <w:noProof/>
            <w:webHidden/>
          </w:rPr>
          <w:fldChar w:fldCharType="separate"/>
        </w:r>
        <w:r w:rsidR="00466B81">
          <w:rPr>
            <w:noProof/>
            <w:webHidden/>
          </w:rPr>
          <w:t>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7" w:history="1">
        <w:r w:rsidR="00887E60" w:rsidRPr="006E1F2E">
          <w:rPr>
            <w:rStyle w:val="Hyperlink"/>
            <w:noProof/>
          </w:rPr>
          <w:t>2.3</w:t>
        </w:r>
        <w:r w:rsidR="00887E60">
          <w:rPr>
            <w:rFonts w:asciiTheme="minorHAnsi" w:eastAsiaTheme="minorEastAsia" w:hAnsiTheme="minorHAnsi" w:cstheme="minorBidi"/>
            <w:noProof/>
            <w:lang w:val="en-NZ" w:eastAsia="en-NZ"/>
          </w:rPr>
          <w:tab/>
        </w:r>
        <w:r w:rsidR="00887E60" w:rsidRPr="006E1F2E">
          <w:rPr>
            <w:rStyle w:val="Hyperlink"/>
            <w:noProof/>
          </w:rPr>
          <w:t>Medicines Adverse Reactions Committee</w:t>
        </w:r>
        <w:r w:rsidR="00887E60">
          <w:rPr>
            <w:noProof/>
            <w:webHidden/>
          </w:rPr>
          <w:tab/>
        </w:r>
        <w:r w:rsidR="00887E60">
          <w:rPr>
            <w:noProof/>
            <w:webHidden/>
          </w:rPr>
          <w:fldChar w:fldCharType="begin"/>
        </w:r>
        <w:r w:rsidR="00887E60">
          <w:rPr>
            <w:noProof/>
            <w:webHidden/>
          </w:rPr>
          <w:instrText xml:space="preserve"> PAGEREF _Toc414522777 \h </w:instrText>
        </w:r>
        <w:r w:rsidR="00887E60">
          <w:rPr>
            <w:noProof/>
            <w:webHidden/>
          </w:rPr>
        </w:r>
        <w:r w:rsidR="00887E60">
          <w:rPr>
            <w:noProof/>
            <w:webHidden/>
          </w:rPr>
          <w:fldChar w:fldCharType="separate"/>
        </w:r>
        <w:r w:rsidR="00466B81">
          <w:rPr>
            <w:noProof/>
            <w:webHidden/>
          </w:rPr>
          <w:t>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8" w:history="1">
        <w:r w:rsidR="00887E60" w:rsidRPr="006E1F2E">
          <w:rPr>
            <w:rStyle w:val="Hyperlink"/>
            <w:noProof/>
          </w:rPr>
          <w:t>2.4</w:t>
        </w:r>
        <w:r w:rsidR="00887E60">
          <w:rPr>
            <w:rFonts w:asciiTheme="minorHAnsi" w:eastAsiaTheme="minorEastAsia" w:hAnsiTheme="minorHAnsi" w:cstheme="minorBidi"/>
            <w:noProof/>
            <w:lang w:val="en-NZ" w:eastAsia="en-NZ"/>
          </w:rPr>
          <w:tab/>
        </w:r>
        <w:r w:rsidR="00887E60" w:rsidRPr="006E1F2E">
          <w:rPr>
            <w:rStyle w:val="Hyperlink"/>
            <w:noProof/>
          </w:rPr>
          <w:t>Centre for Adverse Reactions Monitoring</w:t>
        </w:r>
        <w:r w:rsidR="00887E60">
          <w:rPr>
            <w:noProof/>
            <w:webHidden/>
          </w:rPr>
          <w:tab/>
        </w:r>
        <w:r w:rsidR="00887E60">
          <w:rPr>
            <w:noProof/>
            <w:webHidden/>
          </w:rPr>
          <w:fldChar w:fldCharType="begin"/>
        </w:r>
        <w:r w:rsidR="00887E60">
          <w:rPr>
            <w:noProof/>
            <w:webHidden/>
          </w:rPr>
          <w:instrText xml:space="preserve"> PAGEREF _Toc414522778 \h </w:instrText>
        </w:r>
        <w:r w:rsidR="00887E60">
          <w:rPr>
            <w:noProof/>
            <w:webHidden/>
          </w:rPr>
        </w:r>
        <w:r w:rsidR="00887E60">
          <w:rPr>
            <w:noProof/>
            <w:webHidden/>
          </w:rPr>
          <w:fldChar w:fldCharType="separate"/>
        </w:r>
        <w:r w:rsidR="00466B81">
          <w:rPr>
            <w:noProof/>
            <w:webHidden/>
          </w:rPr>
          <w:t>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79" w:history="1">
        <w:r w:rsidR="00887E60" w:rsidRPr="006E1F2E">
          <w:rPr>
            <w:rStyle w:val="Hyperlink"/>
            <w:noProof/>
          </w:rPr>
          <w:t>2.5</w:t>
        </w:r>
        <w:r w:rsidR="00887E60">
          <w:rPr>
            <w:rFonts w:asciiTheme="minorHAnsi" w:eastAsiaTheme="minorEastAsia" w:hAnsiTheme="minorHAnsi" w:cstheme="minorBidi"/>
            <w:noProof/>
            <w:lang w:val="en-NZ" w:eastAsia="en-NZ"/>
          </w:rPr>
          <w:tab/>
        </w:r>
        <w:r w:rsidR="00887E60" w:rsidRPr="006E1F2E">
          <w:rPr>
            <w:rStyle w:val="Hyperlink"/>
            <w:noProof/>
          </w:rPr>
          <w:t>Sponsors</w:t>
        </w:r>
        <w:r w:rsidR="00887E60">
          <w:rPr>
            <w:noProof/>
            <w:webHidden/>
          </w:rPr>
          <w:tab/>
        </w:r>
        <w:r w:rsidR="00887E60">
          <w:rPr>
            <w:noProof/>
            <w:webHidden/>
          </w:rPr>
          <w:fldChar w:fldCharType="begin"/>
        </w:r>
        <w:r w:rsidR="00887E60">
          <w:rPr>
            <w:noProof/>
            <w:webHidden/>
          </w:rPr>
          <w:instrText xml:space="preserve"> PAGEREF _Toc414522779 \h </w:instrText>
        </w:r>
        <w:r w:rsidR="00887E60">
          <w:rPr>
            <w:noProof/>
            <w:webHidden/>
          </w:rPr>
        </w:r>
        <w:r w:rsidR="00887E60">
          <w:rPr>
            <w:noProof/>
            <w:webHidden/>
          </w:rPr>
          <w:fldChar w:fldCharType="separate"/>
        </w:r>
        <w:r w:rsidR="00466B81">
          <w:rPr>
            <w:noProof/>
            <w:webHidden/>
          </w:rPr>
          <w:t>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0" w:history="1">
        <w:r w:rsidR="00887E60" w:rsidRPr="006E1F2E">
          <w:rPr>
            <w:rStyle w:val="Hyperlink"/>
            <w:noProof/>
          </w:rPr>
          <w:t>2.5.1</w:t>
        </w:r>
        <w:r w:rsidR="00887E60">
          <w:rPr>
            <w:rFonts w:asciiTheme="minorHAnsi" w:eastAsiaTheme="minorEastAsia" w:hAnsiTheme="minorHAnsi" w:cstheme="minorBidi"/>
            <w:noProof/>
            <w:lang w:val="en-NZ" w:eastAsia="en-NZ"/>
          </w:rPr>
          <w:tab/>
        </w:r>
        <w:r w:rsidR="00887E60" w:rsidRPr="006E1F2E">
          <w:rPr>
            <w:rStyle w:val="Hyperlink"/>
            <w:noProof/>
          </w:rPr>
          <w:t>Sponsors’ obligations and responsibilities</w:t>
        </w:r>
        <w:r w:rsidR="00887E60">
          <w:rPr>
            <w:noProof/>
            <w:webHidden/>
          </w:rPr>
          <w:tab/>
        </w:r>
        <w:r w:rsidR="00887E60">
          <w:rPr>
            <w:noProof/>
            <w:webHidden/>
          </w:rPr>
          <w:fldChar w:fldCharType="begin"/>
        </w:r>
        <w:r w:rsidR="00887E60">
          <w:rPr>
            <w:noProof/>
            <w:webHidden/>
          </w:rPr>
          <w:instrText xml:space="preserve"> PAGEREF _Toc414522780 \h </w:instrText>
        </w:r>
        <w:r w:rsidR="00887E60">
          <w:rPr>
            <w:noProof/>
            <w:webHidden/>
          </w:rPr>
        </w:r>
        <w:r w:rsidR="00887E60">
          <w:rPr>
            <w:noProof/>
            <w:webHidden/>
          </w:rPr>
          <w:fldChar w:fldCharType="separate"/>
        </w:r>
        <w:r w:rsidR="00466B81">
          <w:rPr>
            <w:noProof/>
            <w:webHidden/>
          </w:rPr>
          <w:t>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1" w:history="1">
        <w:r w:rsidR="00887E60" w:rsidRPr="006E1F2E">
          <w:rPr>
            <w:rStyle w:val="Hyperlink"/>
            <w:noProof/>
          </w:rPr>
          <w:t>2.5.2</w:t>
        </w:r>
        <w:r w:rsidR="00887E60">
          <w:rPr>
            <w:rFonts w:asciiTheme="minorHAnsi" w:eastAsiaTheme="minorEastAsia" w:hAnsiTheme="minorHAnsi" w:cstheme="minorBidi"/>
            <w:noProof/>
            <w:lang w:val="en-NZ" w:eastAsia="en-NZ"/>
          </w:rPr>
          <w:tab/>
        </w:r>
        <w:r w:rsidR="00887E60" w:rsidRPr="006E1F2E">
          <w:rPr>
            <w:rStyle w:val="Hyperlink"/>
            <w:noProof/>
          </w:rPr>
          <w:t>Contact Person</w:t>
        </w:r>
        <w:r w:rsidR="00887E60">
          <w:rPr>
            <w:noProof/>
            <w:webHidden/>
          </w:rPr>
          <w:tab/>
        </w:r>
        <w:r w:rsidR="00887E60">
          <w:rPr>
            <w:noProof/>
            <w:webHidden/>
          </w:rPr>
          <w:fldChar w:fldCharType="begin"/>
        </w:r>
        <w:r w:rsidR="00887E60">
          <w:rPr>
            <w:noProof/>
            <w:webHidden/>
          </w:rPr>
          <w:instrText xml:space="preserve"> PAGEREF _Toc414522781 \h </w:instrText>
        </w:r>
        <w:r w:rsidR="00887E60">
          <w:rPr>
            <w:noProof/>
            <w:webHidden/>
          </w:rPr>
        </w:r>
        <w:r w:rsidR="00887E60">
          <w:rPr>
            <w:noProof/>
            <w:webHidden/>
          </w:rPr>
          <w:fldChar w:fldCharType="separate"/>
        </w:r>
        <w:r w:rsidR="00466B81">
          <w:rPr>
            <w:noProof/>
            <w:webHidden/>
          </w:rPr>
          <w:t>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2" w:history="1">
        <w:r w:rsidR="00887E60" w:rsidRPr="006E1F2E">
          <w:rPr>
            <w:rStyle w:val="Hyperlink"/>
            <w:noProof/>
          </w:rPr>
          <w:t>2.5.3</w:t>
        </w:r>
        <w:r w:rsidR="00887E60">
          <w:rPr>
            <w:rFonts w:asciiTheme="minorHAnsi" w:eastAsiaTheme="minorEastAsia" w:hAnsiTheme="minorHAnsi" w:cstheme="minorBidi"/>
            <w:noProof/>
            <w:lang w:val="en-NZ" w:eastAsia="en-NZ"/>
          </w:rPr>
          <w:tab/>
        </w:r>
        <w:r w:rsidR="00887E60" w:rsidRPr="006E1F2E">
          <w:rPr>
            <w:rStyle w:val="Hyperlink"/>
            <w:noProof/>
          </w:rPr>
          <w:t>Contractual agreements between sponsors, manufacturers, importers or distributors</w:t>
        </w:r>
        <w:r w:rsidR="00887E60">
          <w:rPr>
            <w:noProof/>
            <w:webHidden/>
          </w:rPr>
          <w:tab/>
        </w:r>
        <w:r w:rsidR="00887E60">
          <w:rPr>
            <w:noProof/>
            <w:webHidden/>
          </w:rPr>
          <w:fldChar w:fldCharType="begin"/>
        </w:r>
        <w:r w:rsidR="00887E60">
          <w:rPr>
            <w:noProof/>
            <w:webHidden/>
          </w:rPr>
          <w:instrText xml:space="preserve"> PAGEREF _Toc414522782 \h </w:instrText>
        </w:r>
        <w:r w:rsidR="00887E60">
          <w:rPr>
            <w:noProof/>
            <w:webHidden/>
          </w:rPr>
        </w:r>
        <w:r w:rsidR="00887E60">
          <w:rPr>
            <w:noProof/>
            <w:webHidden/>
          </w:rPr>
          <w:fldChar w:fldCharType="separate"/>
        </w:r>
        <w:r w:rsidR="00466B81">
          <w:rPr>
            <w:noProof/>
            <w:webHidden/>
          </w:rPr>
          <w:t>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3" w:history="1">
        <w:r w:rsidR="00887E60" w:rsidRPr="006E1F2E">
          <w:rPr>
            <w:rStyle w:val="Hyperlink"/>
            <w:noProof/>
          </w:rPr>
          <w:t>2.5.3.1</w:t>
        </w:r>
        <w:r w:rsidR="00887E60">
          <w:rPr>
            <w:rFonts w:asciiTheme="minorHAnsi" w:eastAsiaTheme="minorEastAsia" w:hAnsiTheme="minorHAnsi" w:cstheme="minorBidi"/>
            <w:noProof/>
            <w:lang w:val="en-NZ" w:eastAsia="en-NZ"/>
          </w:rPr>
          <w:tab/>
        </w:r>
        <w:r w:rsidR="00887E60" w:rsidRPr="006E1F2E">
          <w:rPr>
            <w:rStyle w:val="Hyperlink"/>
            <w:noProof/>
          </w:rPr>
          <w:t>Subcontracting pharmacovigilance functions</w:t>
        </w:r>
        <w:r w:rsidR="00887E60">
          <w:rPr>
            <w:noProof/>
            <w:webHidden/>
          </w:rPr>
          <w:tab/>
        </w:r>
        <w:r w:rsidR="00887E60">
          <w:rPr>
            <w:noProof/>
            <w:webHidden/>
          </w:rPr>
          <w:fldChar w:fldCharType="begin"/>
        </w:r>
        <w:r w:rsidR="00887E60">
          <w:rPr>
            <w:noProof/>
            <w:webHidden/>
          </w:rPr>
          <w:instrText xml:space="preserve"> PAGEREF _Toc414522783 \h </w:instrText>
        </w:r>
        <w:r w:rsidR="00887E60">
          <w:rPr>
            <w:noProof/>
            <w:webHidden/>
          </w:rPr>
        </w:r>
        <w:r w:rsidR="00887E60">
          <w:rPr>
            <w:noProof/>
            <w:webHidden/>
          </w:rPr>
          <w:fldChar w:fldCharType="separate"/>
        </w:r>
        <w:r w:rsidR="00466B81">
          <w:rPr>
            <w:noProof/>
            <w:webHidden/>
          </w:rPr>
          <w:t>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4" w:history="1">
        <w:r w:rsidR="00887E60" w:rsidRPr="006E1F2E">
          <w:rPr>
            <w:rStyle w:val="Hyperlink"/>
            <w:noProof/>
          </w:rPr>
          <w:t>2.5.4</w:t>
        </w:r>
        <w:r w:rsidR="00887E60">
          <w:rPr>
            <w:rFonts w:asciiTheme="minorHAnsi" w:eastAsiaTheme="minorEastAsia" w:hAnsiTheme="minorHAnsi" w:cstheme="minorBidi"/>
            <w:noProof/>
            <w:lang w:val="en-NZ" w:eastAsia="en-NZ"/>
          </w:rPr>
          <w:tab/>
        </w:r>
        <w:r w:rsidR="00887E60" w:rsidRPr="006E1F2E">
          <w:rPr>
            <w:rStyle w:val="Hyperlink"/>
            <w:noProof/>
          </w:rPr>
          <w:t>Emergency planning</w:t>
        </w:r>
        <w:r w:rsidR="00887E60">
          <w:rPr>
            <w:noProof/>
            <w:webHidden/>
          </w:rPr>
          <w:tab/>
        </w:r>
        <w:r w:rsidR="00887E60">
          <w:rPr>
            <w:noProof/>
            <w:webHidden/>
          </w:rPr>
          <w:fldChar w:fldCharType="begin"/>
        </w:r>
        <w:r w:rsidR="00887E60">
          <w:rPr>
            <w:noProof/>
            <w:webHidden/>
          </w:rPr>
          <w:instrText xml:space="preserve"> PAGEREF _Toc414522784 \h </w:instrText>
        </w:r>
        <w:r w:rsidR="00887E60">
          <w:rPr>
            <w:noProof/>
            <w:webHidden/>
          </w:rPr>
        </w:r>
        <w:r w:rsidR="00887E60">
          <w:rPr>
            <w:noProof/>
            <w:webHidden/>
          </w:rPr>
          <w:fldChar w:fldCharType="separate"/>
        </w:r>
        <w:r w:rsidR="00466B81">
          <w:rPr>
            <w:noProof/>
            <w:webHidden/>
          </w:rPr>
          <w:t>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5" w:history="1">
        <w:r w:rsidR="00887E60" w:rsidRPr="006E1F2E">
          <w:rPr>
            <w:rStyle w:val="Hyperlink"/>
            <w:noProof/>
          </w:rPr>
          <w:t>2.6</w:t>
        </w:r>
        <w:r w:rsidR="00887E60">
          <w:rPr>
            <w:rFonts w:asciiTheme="minorHAnsi" w:eastAsiaTheme="minorEastAsia" w:hAnsiTheme="minorHAnsi" w:cstheme="minorBidi"/>
            <w:noProof/>
            <w:lang w:val="en-NZ" w:eastAsia="en-NZ"/>
          </w:rPr>
          <w:tab/>
        </w:r>
        <w:r w:rsidR="00887E60" w:rsidRPr="006E1F2E">
          <w:rPr>
            <w:rStyle w:val="Hyperlink"/>
            <w:noProof/>
          </w:rPr>
          <w:t>Failure to comply with responsibilities and obligations</w:t>
        </w:r>
        <w:r w:rsidR="00887E60">
          <w:rPr>
            <w:noProof/>
            <w:webHidden/>
          </w:rPr>
          <w:tab/>
        </w:r>
        <w:r w:rsidR="00887E60">
          <w:rPr>
            <w:noProof/>
            <w:webHidden/>
          </w:rPr>
          <w:fldChar w:fldCharType="begin"/>
        </w:r>
        <w:r w:rsidR="00887E60">
          <w:rPr>
            <w:noProof/>
            <w:webHidden/>
          </w:rPr>
          <w:instrText xml:space="preserve"> PAGEREF _Toc414522785 \h </w:instrText>
        </w:r>
        <w:r w:rsidR="00887E60">
          <w:rPr>
            <w:noProof/>
            <w:webHidden/>
          </w:rPr>
        </w:r>
        <w:r w:rsidR="00887E60">
          <w:rPr>
            <w:noProof/>
            <w:webHidden/>
          </w:rPr>
          <w:fldChar w:fldCharType="separate"/>
        </w:r>
        <w:r w:rsidR="00466B81">
          <w:rPr>
            <w:noProof/>
            <w:webHidden/>
          </w:rPr>
          <w:t>10</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786" w:history="1">
        <w:r w:rsidR="00887E60" w:rsidRPr="006E1F2E">
          <w:rPr>
            <w:rStyle w:val="Hyperlink"/>
            <w:noProof/>
          </w:rPr>
          <w:t>Section 3:</w:t>
        </w:r>
        <w:r w:rsidR="00887E60">
          <w:rPr>
            <w:rFonts w:asciiTheme="minorHAnsi" w:eastAsiaTheme="minorEastAsia" w:hAnsiTheme="minorHAnsi" w:cstheme="minorBidi"/>
            <w:noProof/>
            <w:lang w:val="en-NZ" w:eastAsia="en-NZ"/>
          </w:rPr>
          <w:tab/>
        </w:r>
        <w:r w:rsidR="00887E60" w:rsidRPr="006E1F2E">
          <w:rPr>
            <w:rStyle w:val="Hyperlink"/>
            <w:noProof/>
          </w:rPr>
          <w:t>Reporting</w:t>
        </w:r>
        <w:r w:rsidR="00887E60">
          <w:rPr>
            <w:noProof/>
            <w:webHidden/>
          </w:rPr>
          <w:tab/>
        </w:r>
        <w:r w:rsidR="00887E60">
          <w:rPr>
            <w:noProof/>
            <w:webHidden/>
          </w:rPr>
          <w:fldChar w:fldCharType="begin"/>
        </w:r>
        <w:r w:rsidR="00887E60">
          <w:rPr>
            <w:noProof/>
            <w:webHidden/>
          </w:rPr>
          <w:instrText xml:space="preserve"> PAGEREF _Toc414522786 \h </w:instrText>
        </w:r>
        <w:r w:rsidR="00887E60">
          <w:rPr>
            <w:noProof/>
            <w:webHidden/>
          </w:rPr>
        </w:r>
        <w:r w:rsidR="00887E60">
          <w:rPr>
            <w:noProof/>
            <w:webHidden/>
          </w:rPr>
          <w:fldChar w:fldCharType="separate"/>
        </w:r>
        <w:r w:rsidR="00466B81">
          <w:rPr>
            <w:noProof/>
            <w:webHidden/>
          </w:rPr>
          <w:t>11</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7" w:history="1">
        <w:r w:rsidR="00887E60" w:rsidRPr="006E1F2E">
          <w:rPr>
            <w:rStyle w:val="Hyperlink"/>
            <w:noProof/>
          </w:rPr>
          <w:t>3.1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_Toc414522787 \h </w:instrText>
        </w:r>
        <w:r w:rsidR="00887E60">
          <w:rPr>
            <w:noProof/>
            <w:webHidden/>
          </w:rPr>
        </w:r>
        <w:r w:rsidR="00887E60">
          <w:rPr>
            <w:noProof/>
            <w:webHidden/>
          </w:rPr>
          <w:fldChar w:fldCharType="separate"/>
        </w:r>
        <w:r w:rsidR="00466B81">
          <w:rPr>
            <w:noProof/>
            <w:webHidden/>
          </w:rPr>
          <w:t>11</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8" w:history="1">
        <w:r w:rsidR="00887E60" w:rsidRPr="006E1F2E">
          <w:rPr>
            <w:rStyle w:val="Hyperlink"/>
            <w:noProof/>
          </w:rPr>
          <w:t>3.2</w:t>
        </w:r>
        <w:r w:rsidR="00887E60">
          <w:rPr>
            <w:rFonts w:asciiTheme="minorHAnsi" w:eastAsiaTheme="minorEastAsia" w:hAnsiTheme="minorHAnsi" w:cstheme="minorBidi"/>
            <w:noProof/>
            <w:lang w:val="en-NZ" w:eastAsia="en-NZ"/>
          </w:rPr>
          <w:tab/>
        </w:r>
        <w:r w:rsidR="00887E60" w:rsidRPr="006E1F2E">
          <w:rPr>
            <w:rStyle w:val="Hyperlink"/>
            <w:noProof/>
          </w:rPr>
          <w:t>What should be reported</w:t>
        </w:r>
        <w:r w:rsidR="00887E60">
          <w:rPr>
            <w:noProof/>
            <w:webHidden/>
          </w:rPr>
          <w:tab/>
        </w:r>
        <w:r w:rsidR="00887E60">
          <w:rPr>
            <w:noProof/>
            <w:webHidden/>
          </w:rPr>
          <w:fldChar w:fldCharType="begin"/>
        </w:r>
        <w:r w:rsidR="00887E60">
          <w:rPr>
            <w:noProof/>
            <w:webHidden/>
          </w:rPr>
          <w:instrText xml:space="preserve"> PAGEREF _Toc414522788 \h </w:instrText>
        </w:r>
        <w:r w:rsidR="00887E60">
          <w:rPr>
            <w:noProof/>
            <w:webHidden/>
          </w:rPr>
        </w:r>
        <w:r w:rsidR="00887E60">
          <w:rPr>
            <w:noProof/>
            <w:webHidden/>
          </w:rPr>
          <w:fldChar w:fldCharType="separate"/>
        </w:r>
        <w:r w:rsidR="00466B81">
          <w:rPr>
            <w:noProof/>
            <w:webHidden/>
          </w:rPr>
          <w:t>12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89" w:history="1">
        <w:r w:rsidR="00887E60" w:rsidRPr="006E1F2E">
          <w:rPr>
            <w:rStyle w:val="Hyperlink"/>
            <w:noProof/>
          </w:rPr>
          <w:t>3.2.1</w:t>
        </w:r>
        <w:r w:rsidR="00887E60">
          <w:rPr>
            <w:rFonts w:asciiTheme="minorHAnsi" w:eastAsiaTheme="minorEastAsia" w:hAnsiTheme="minorHAnsi" w:cstheme="minorBidi"/>
            <w:noProof/>
            <w:lang w:val="en-NZ" w:eastAsia="en-NZ"/>
          </w:rPr>
          <w:tab/>
        </w:r>
        <w:r w:rsidR="00887E60" w:rsidRPr="006E1F2E">
          <w:rPr>
            <w:rStyle w:val="Hyperlink"/>
            <w:noProof/>
          </w:rPr>
          <w:t>Do NOT report:</w:t>
        </w:r>
        <w:r w:rsidR="00887E60">
          <w:rPr>
            <w:noProof/>
            <w:webHidden/>
          </w:rPr>
          <w:tab/>
        </w:r>
        <w:r w:rsidR="00887E60">
          <w:rPr>
            <w:noProof/>
            <w:webHidden/>
          </w:rPr>
          <w:fldChar w:fldCharType="begin"/>
        </w:r>
        <w:r w:rsidR="00887E60">
          <w:rPr>
            <w:noProof/>
            <w:webHidden/>
          </w:rPr>
          <w:instrText xml:space="preserve"> PAGEREF _Toc414522789 \h </w:instrText>
        </w:r>
        <w:r w:rsidR="00887E60">
          <w:rPr>
            <w:noProof/>
            <w:webHidden/>
          </w:rPr>
        </w:r>
        <w:r w:rsidR="00887E60">
          <w:rPr>
            <w:noProof/>
            <w:webHidden/>
          </w:rPr>
          <w:fldChar w:fldCharType="separate"/>
        </w:r>
        <w:r w:rsidR="00466B81">
          <w:rPr>
            <w:noProof/>
            <w:webHidden/>
          </w:rPr>
          <w:t>12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0" w:history="1">
        <w:r w:rsidR="00887E60" w:rsidRPr="006E1F2E">
          <w:rPr>
            <w:rStyle w:val="Hyperlink"/>
            <w:noProof/>
          </w:rPr>
          <w:t>3.2.2</w:t>
        </w:r>
        <w:r w:rsidR="00887E60">
          <w:rPr>
            <w:rFonts w:asciiTheme="minorHAnsi" w:eastAsiaTheme="minorEastAsia" w:hAnsiTheme="minorHAnsi" w:cstheme="minorBidi"/>
            <w:noProof/>
            <w:lang w:val="en-NZ" w:eastAsia="en-NZ"/>
          </w:rPr>
          <w:tab/>
        </w:r>
        <w:r w:rsidR="00887E60" w:rsidRPr="006E1F2E">
          <w:rPr>
            <w:rStyle w:val="Hyperlink"/>
            <w:noProof/>
          </w:rPr>
          <w:t>Serious Adverse Event / Adverse Reaction</w:t>
        </w:r>
        <w:r w:rsidR="00887E60">
          <w:rPr>
            <w:noProof/>
            <w:webHidden/>
          </w:rPr>
          <w:tab/>
        </w:r>
        <w:r w:rsidR="00887E60">
          <w:rPr>
            <w:noProof/>
            <w:webHidden/>
          </w:rPr>
          <w:fldChar w:fldCharType="begin"/>
        </w:r>
        <w:r w:rsidR="00887E60">
          <w:rPr>
            <w:noProof/>
            <w:webHidden/>
          </w:rPr>
          <w:instrText xml:space="preserve"> PAGEREF _Toc414522790 \h </w:instrText>
        </w:r>
        <w:r w:rsidR="00887E60">
          <w:rPr>
            <w:noProof/>
            <w:webHidden/>
          </w:rPr>
        </w:r>
        <w:r w:rsidR="00887E60">
          <w:rPr>
            <w:noProof/>
            <w:webHidden/>
          </w:rPr>
          <w:fldChar w:fldCharType="separate"/>
        </w:r>
        <w:r w:rsidR="00466B81">
          <w:rPr>
            <w:noProof/>
            <w:webHidden/>
          </w:rPr>
          <w:t>12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1" w:history="1">
        <w:r w:rsidR="00887E60" w:rsidRPr="006E1F2E">
          <w:rPr>
            <w:rStyle w:val="Hyperlink"/>
            <w:noProof/>
          </w:rPr>
          <w:t>3.2.3</w:t>
        </w:r>
        <w:r w:rsidR="00887E60">
          <w:rPr>
            <w:rFonts w:asciiTheme="minorHAnsi" w:eastAsiaTheme="minorEastAsia" w:hAnsiTheme="minorHAnsi" w:cstheme="minorBidi"/>
            <w:noProof/>
            <w:lang w:val="en-NZ" w:eastAsia="en-NZ"/>
          </w:rPr>
          <w:tab/>
        </w:r>
        <w:r w:rsidR="00887E60" w:rsidRPr="006E1F2E">
          <w:rPr>
            <w:rStyle w:val="Hyperlink"/>
            <w:noProof/>
          </w:rPr>
          <w:t>Non-serious adverse reactions</w:t>
        </w:r>
        <w:r w:rsidR="00887E60">
          <w:rPr>
            <w:noProof/>
            <w:webHidden/>
          </w:rPr>
          <w:tab/>
        </w:r>
        <w:r w:rsidR="00887E60">
          <w:rPr>
            <w:noProof/>
            <w:webHidden/>
          </w:rPr>
          <w:fldChar w:fldCharType="begin"/>
        </w:r>
        <w:r w:rsidR="00887E60">
          <w:rPr>
            <w:noProof/>
            <w:webHidden/>
          </w:rPr>
          <w:instrText xml:space="preserve"> PAGEREF _Toc414522791 \h </w:instrText>
        </w:r>
        <w:r w:rsidR="00887E60">
          <w:rPr>
            <w:noProof/>
            <w:webHidden/>
          </w:rPr>
        </w:r>
        <w:r w:rsidR="00887E60">
          <w:rPr>
            <w:noProof/>
            <w:webHidden/>
          </w:rPr>
          <w:fldChar w:fldCharType="separate"/>
        </w:r>
        <w:r w:rsidR="00466B81">
          <w:rPr>
            <w:noProof/>
            <w:webHidden/>
          </w:rPr>
          <w:t>13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2" w:history="1">
        <w:r w:rsidR="00887E60" w:rsidRPr="006E1F2E">
          <w:rPr>
            <w:rStyle w:val="Hyperlink"/>
            <w:noProof/>
          </w:rPr>
          <w:t>3.2.4</w:t>
        </w:r>
        <w:r w:rsidR="00887E60">
          <w:rPr>
            <w:rFonts w:asciiTheme="minorHAnsi" w:eastAsiaTheme="minorEastAsia" w:hAnsiTheme="minorHAnsi" w:cstheme="minorBidi"/>
            <w:noProof/>
            <w:lang w:val="en-NZ" w:eastAsia="en-NZ"/>
          </w:rPr>
          <w:tab/>
        </w:r>
        <w:r w:rsidR="00887E60" w:rsidRPr="006E1F2E">
          <w:rPr>
            <w:rStyle w:val="Hyperlink"/>
            <w:noProof/>
          </w:rPr>
          <w:t>Spontaneous adverse reaction reports (Unsolicited reports)</w:t>
        </w:r>
        <w:r w:rsidR="00887E60">
          <w:rPr>
            <w:noProof/>
            <w:webHidden/>
          </w:rPr>
          <w:tab/>
        </w:r>
        <w:r w:rsidR="00887E60">
          <w:rPr>
            <w:noProof/>
            <w:webHidden/>
          </w:rPr>
          <w:fldChar w:fldCharType="begin"/>
        </w:r>
        <w:r w:rsidR="00887E60">
          <w:rPr>
            <w:noProof/>
            <w:webHidden/>
          </w:rPr>
          <w:instrText xml:space="preserve"> PAGEREF _Toc414522792 \h </w:instrText>
        </w:r>
        <w:r w:rsidR="00887E60">
          <w:rPr>
            <w:noProof/>
            <w:webHidden/>
          </w:rPr>
        </w:r>
        <w:r w:rsidR="00887E60">
          <w:rPr>
            <w:noProof/>
            <w:webHidden/>
          </w:rPr>
          <w:fldChar w:fldCharType="separate"/>
        </w:r>
        <w:r w:rsidR="00466B81">
          <w:rPr>
            <w:noProof/>
            <w:webHidden/>
          </w:rPr>
          <w:t>13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3" w:history="1">
        <w:r w:rsidR="00887E60" w:rsidRPr="006E1F2E">
          <w:rPr>
            <w:rStyle w:val="Hyperlink"/>
            <w:noProof/>
          </w:rPr>
          <w:t>3.2.5</w:t>
        </w:r>
        <w:r w:rsidR="00887E60">
          <w:rPr>
            <w:rFonts w:asciiTheme="minorHAnsi" w:eastAsiaTheme="minorEastAsia" w:hAnsiTheme="minorHAnsi" w:cstheme="minorBidi"/>
            <w:noProof/>
            <w:lang w:val="en-NZ" w:eastAsia="en-NZ"/>
          </w:rPr>
          <w:tab/>
        </w:r>
        <w:r w:rsidR="00887E60" w:rsidRPr="006E1F2E">
          <w:rPr>
            <w:rStyle w:val="Hyperlink"/>
            <w:noProof/>
          </w:rPr>
          <w:t>Solicited reports</w:t>
        </w:r>
        <w:r w:rsidR="00887E60">
          <w:rPr>
            <w:noProof/>
            <w:webHidden/>
          </w:rPr>
          <w:tab/>
        </w:r>
        <w:r w:rsidR="00887E60">
          <w:rPr>
            <w:noProof/>
            <w:webHidden/>
          </w:rPr>
          <w:fldChar w:fldCharType="begin"/>
        </w:r>
        <w:r w:rsidR="00887E60">
          <w:rPr>
            <w:noProof/>
            <w:webHidden/>
          </w:rPr>
          <w:instrText xml:space="preserve"> PAGEREF _Toc414522793 \h </w:instrText>
        </w:r>
        <w:r w:rsidR="00887E60">
          <w:rPr>
            <w:noProof/>
            <w:webHidden/>
          </w:rPr>
        </w:r>
        <w:r w:rsidR="00887E60">
          <w:rPr>
            <w:noProof/>
            <w:webHidden/>
          </w:rPr>
          <w:fldChar w:fldCharType="separate"/>
        </w:r>
        <w:r w:rsidR="00466B81">
          <w:rPr>
            <w:noProof/>
            <w:webHidden/>
          </w:rPr>
          <w:t>13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4" w:history="1">
        <w:r w:rsidR="00887E60" w:rsidRPr="006E1F2E">
          <w:rPr>
            <w:rStyle w:val="Hyperlink"/>
            <w:noProof/>
          </w:rPr>
          <w:t>3.3</w:t>
        </w:r>
        <w:r w:rsidR="00887E60">
          <w:rPr>
            <w:rFonts w:asciiTheme="minorHAnsi" w:eastAsiaTheme="minorEastAsia" w:hAnsiTheme="minorHAnsi" w:cstheme="minorBidi"/>
            <w:noProof/>
            <w:lang w:val="en-NZ" w:eastAsia="en-NZ"/>
          </w:rPr>
          <w:tab/>
        </w:r>
        <w:r w:rsidR="00887E60" w:rsidRPr="006E1F2E">
          <w:rPr>
            <w:rStyle w:val="Hyperlink"/>
            <w:noProof/>
          </w:rPr>
          <w:t>Reporting process</w:t>
        </w:r>
        <w:r w:rsidR="00887E60">
          <w:rPr>
            <w:noProof/>
            <w:webHidden/>
          </w:rPr>
          <w:tab/>
        </w:r>
        <w:r w:rsidR="00887E60">
          <w:rPr>
            <w:noProof/>
            <w:webHidden/>
          </w:rPr>
          <w:fldChar w:fldCharType="begin"/>
        </w:r>
        <w:r w:rsidR="00887E60">
          <w:rPr>
            <w:noProof/>
            <w:webHidden/>
          </w:rPr>
          <w:instrText xml:space="preserve"> PAGEREF _Toc414522794 \h </w:instrText>
        </w:r>
        <w:r w:rsidR="00887E60">
          <w:rPr>
            <w:noProof/>
            <w:webHidden/>
          </w:rPr>
        </w:r>
        <w:r w:rsidR="00887E60">
          <w:rPr>
            <w:noProof/>
            <w:webHidden/>
          </w:rPr>
          <w:fldChar w:fldCharType="separate"/>
        </w:r>
        <w:r w:rsidR="00466B81">
          <w:rPr>
            <w:noProof/>
            <w:webHidden/>
          </w:rPr>
          <w:t>14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5" w:history="1">
        <w:r w:rsidR="00887E60" w:rsidRPr="006E1F2E">
          <w:rPr>
            <w:rStyle w:val="Hyperlink"/>
            <w:noProof/>
          </w:rPr>
          <w:t>3.3.1</w:t>
        </w:r>
        <w:r w:rsidR="00887E60">
          <w:rPr>
            <w:rFonts w:asciiTheme="minorHAnsi" w:eastAsiaTheme="minorEastAsia" w:hAnsiTheme="minorHAnsi" w:cstheme="minorBidi"/>
            <w:noProof/>
            <w:lang w:val="en-NZ" w:eastAsia="en-NZ"/>
          </w:rPr>
          <w:tab/>
        </w:r>
        <w:r w:rsidR="00887E60" w:rsidRPr="006E1F2E">
          <w:rPr>
            <w:rStyle w:val="Hyperlink"/>
            <w:noProof/>
          </w:rPr>
          <w:t>Collection of reports</w:t>
        </w:r>
        <w:r w:rsidR="00887E60">
          <w:rPr>
            <w:noProof/>
            <w:webHidden/>
          </w:rPr>
          <w:tab/>
        </w:r>
        <w:r w:rsidR="00887E60">
          <w:rPr>
            <w:noProof/>
            <w:webHidden/>
          </w:rPr>
          <w:fldChar w:fldCharType="begin"/>
        </w:r>
        <w:r w:rsidR="00887E60">
          <w:rPr>
            <w:noProof/>
            <w:webHidden/>
          </w:rPr>
          <w:instrText xml:space="preserve"> PAGEREF _Toc414522795 \h </w:instrText>
        </w:r>
        <w:r w:rsidR="00887E60">
          <w:rPr>
            <w:noProof/>
            <w:webHidden/>
          </w:rPr>
        </w:r>
        <w:r w:rsidR="00887E60">
          <w:rPr>
            <w:noProof/>
            <w:webHidden/>
          </w:rPr>
          <w:fldChar w:fldCharType="separate"/>
        </w:r>
        <w:r w:rsidR="00466B81">
          <w:rPr>
            <w:noProof/>
            <w:webHidden/>
          </w:rPr>
          <w:t>14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6" w:history="1">
        <w:r w:rsidR="00887E60" w:rsidRPr="006E1F2E">
          <w:rPr>
            <w:rStyle w:val="Hyperlink"/>
            <w:noProof/>
          </w:rPr>
          <w:t>3.3.2</w:t>
        </w:r>
        <w:r w:rsidR="00887E60">
          <w:rPr>
            <w:rFonts w:asciiTheme="minorHAnsi" w:eastAsiaTheme="minorEastAsia" w:hAnsiTheme="minorHAnsi" w:cstheme="minorBidi"/>
            <w:noProof/>
            <w:lang w:val="en-NZ" w:eastAsia="en-NZ"/>
          </w:rPr>
          <w:tab/>
        </w:r>
        <w:r w:rsidR="00887E60" w:rsidRPr="006E1F2E">
          <w:rPr>
            <w:rStyle w:val="Hyperlink"/>
            <w:noProof/>
          </w:rPr>
          <w:t>Validation of reports</w:t>
        </w:r>
        <w:r w:rsidR="00887E60">
          <w:rPr>
            <w:noProof/>
            <w:webHidden/>
          </w:rPr>
          <w:tab/>
        </w:r>
        <w:r w:rsidR="00887E60">
          <w:rPr>
            <w:noProof/>
            <w:webHidden/>
          </w:rPr>
          <w:fldChar w:fldCharType="begin"/>
        </w:r>
        <w:r w:rsidR="00887E60">
          <w:rPr>
            <w:noProof/>
            <w:webHidden/>
          </w:rPr>
          <w:instrText xml:space="preserve"> PAGEREF _Toc414522796 \h </w:instrText>
        </w:r>
        <w:r w:rsidR="00887E60">
          <w:rPr>
            <w:noProof/>
            <w:webHidden/>
          </w:rPr>
        </w:r>
        <w:r w:rsidR="00887E60">
          <w:rPr>
            <w:noProof/>
            <w:webHidden/>
          </w:rPr>
          <w:fldChar w:fldCharType="separate"/>
        </w:r>
        <w:r w:rsidR="00466B81">
          <w:rPr>
            <w:noProof/>
            <w:webHidden/>
          </w:rPr>
          <w:t>14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7" w:history="1">
        <w:r w:rsidR="00887E60" w:rsidRPr="006E1F2E">
          <w:rPr>
            <w:rStyle w:val="Hyperlink"/>
            <w:noProof/>
          </w:rPr>
          <w:t>3.3.3</w:t>
        </w:r>
        <w:r w:rsidR="00887E60">
          <w:rPr>
            <w:rFonts w:asciiTheme="minorHAnsi" w:eastAsiaTheme="minorEastAsia" w:hAnsiTheme="minorHAnsi" w:cstheme="minorBidi"/>
            <w:noProof/>
            <w:lang w:val="en-NZ" w:eastAsia="en-NZ"/>
          </w:rPr>
          <w:tab/>
        </w:r>
        <w:r w:rsidR="00887E60" w:rsidRPr="006E1F2E">
          <w:rPr>
            <w:rStyle w:val="Hyperlink"/>
            <w:noProof/>
          </w:rPr>
          <w:t>Follow-up of reports</w:t>
        </w:r>
        <w:r w:rsidR="00887E60">
          <w:rPr>
            <w:noProof/>
            <w:webHidden/>
          </w:rPr>
          <w:tab/>
        </w:r>
        <w:r w:rsidR="00887E60">
          <w:rPr>
            <w:noProof/>
            <w:webHidden/>
          </w:rPr>
          <w:fldChar w:fldCharType="begin"/>
        </w:r>
        <w:r w:rsidR="00887E60">
          <w:rPr>
            <w:noProof/>
            <w:webHidden/>
          </w:rPr>
          <w:instrText xml:space="preserve"> PAGEREF _Toc414522797 \h </w:instrText>
        </w:r>
        <w:r w:rsidR="00887E60">
          <w:rPr>
            <w:noProof/>
            <w:webHidden/>
          </w:rPr>
        </w:r>
        <w:r w:rsidR="00887E60">
          <w:rPr>
            <w:noProof/>
            <w:webHidden/>
          </w:rPr>
          <w:fldChar w:fldCharType="separate"/>
        </w:r>
        <w:r w:rsidR="00466B81">
          <w:rPr>
            <w:noProof/>
            <w:webHidden/>
          </w:rPr>
          <w:t>15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8" w:history="1">
        <w:r w:rsidR="00887E60" w:rsidRPr="006E1F2E">
          <w:rPr>
            <w:rStyle w:val="Hyperlink"/>
            <w:noProof/>
          </w:rPr>
          <w:t>3.4</w:t>
        </w:r>
        <w:r w:rsidR="00887E60">
          <w:rPr>
            <w:rFonts w:asciiTheme="minorHAnsi" w:eastAsiaTheme="minorEastAsia" w:hAnsiTheme="minorHAnsi" w:cstheme="minorBidi"/>
            <w:noProof/>
            <w:lang w:val="en-NZ" w:eastAsia="en-NZ"/>
          </w:rPr>
          <w:tab/>
        </w:r>
        <w:r w:rsidR="00887E60" w:rsidRPr="006E1F2E">
          <w:rPr>
            <w:rStyle w:val="Hyperlink"/>
            <w:noProof/>
          </w:rPr>
          <w:t>Reporting timeframes for adverse reaction reports</w:t>
        </w:r>
        <w:r w:rsidR="00887E60">
          <w:rPr>
            <w:noProof/>
            <w:webHidden/>
          </w:rPr>
          <w:tab/>
        </w:r>
        <w:r w:rsidR="00887E60">
          <w:rPr>
            <w:noProof/>
            <w:webHidden/>
          </w:rPr>
          <w:fldChar w:fldCharType="begin"/>
        </w:r>
        <w:r w:rsidR="00887E60">
          <w:rPr>
            <w:noProof/>
            <w:webHidden/>
          </w:rPr>
          <w:instrText xml:space="preserve"> PAGEREF _Toc414522798 \h </w:instrText>
        </w:r>
        <w:r w:rsidR="00887E60">
          <w:rPr>
            <w:noProof/>
            <w:webHidden/>
          </w:rPr>
        </w:r>
        <w:r w:rsidR="00887E60">
          <w:rPr>
            <w:noProof/>
            <w:webHidden/>
          </w:rPr>
          <w:fldChar w:fldCharType="separate"/>
        </w:r>
        <w:r w:rsidR="00466B81">
          <w:rPr>
            <w:noProof/>
            <w:webHidden/>
          </w:rPr>
          <w:t>15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799" w:history="1">
        <w:r w:rsidR="00887E60" w:rsidRPr="006E1F2E">
          <w:rPr>
            <w:rStyle w:val="Hyperlink"/>
            <w:noProof/>
          </w:rPr>
          <w:t>3.5</w:t>
        </w:r>
        <w:r w:rsidR="00887E60">
          <w:rPr>
            <w:rFonts w:asciiTheme="minorHAnsi" w:eastAsiaTheme="minorEastAsia" w:hAnsiTheme="minorHAnsi" w:cstheme="minorBidi"/>
            <w:noProof/>
            <w:lang w:val="en-NZ" w:eastAsia="en-NZ"/>
          </w:rPr>
          <w:tab/>
        </w:r>
        <w:r w:rsidR="00887E60" w:rsidRPr="006E1F2E">
          <w:rPr>
            <w:rStyle w:val="Hyperlink"/>
            <w:noProof/>
          </w:rPr>
          <w:t>Special situations</w:t>
        </w:r>
        <w:r w:rsidR="00887E60">
          <w:rPr>
            <w:noProof/>
            <w:webHidden/>
          </w:rPr>
          <w:tab/>
        </w:r>
        <w:r w:rsidR="00887E60">
          <w:rPr>
            <w:noProof/>
            <w:webHidden/>
          </w:rPr>
          <w:fldChar w:fldCharType="begin"/>
        </w:r>
        <w:r w:rsidR="00887E60">
          <w:rPr>
            <w:noProof/>
            <w:webHidden/>
          </w:rPr>
          <w:instrText xml:space="preserve"> PAGEREF _Toc414522799 \h </w:instrText>
        </w:r>
        <w:r w:rsidR="00887E60">
          <w:rPr>
            <w:noProof/>
            <w:webHidden/>
          </w:rPr>
        </w:r>
        <w:r w:rsidR="00887E60">
          <w:rPr>
            <w:noProof/>
            <w:webHidden/>
          </w:rPr>
          <w:fldChar w:fldCharType="separate"/>
        </w:r>
        <w:r w:rsidR="00466B81">
          <w:rPr>
            <w:noProof/>
            <w:webHidden/>
          </w:rPr>
          <w:t>15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0" w:history="1">
        <w:r w:rsidR="00887E60" w:rsidRPr="006E1F2E">
          <w:rPr>
            <w:rStyle w:val="Hyperlink"/>
            <w:noProof/>
          </w:rPr>
          <w:t>3.5.1</w:t>
        </w:r>
        <w:r w:rsidR="00887E60">
          <w:rPr>
            <w:rFonts w:asciiTheme="minorHAnsi" w:eastAsiaTheme="minorEastAsia" w:hAnsiTheme="minorHAnsi" w:cstheme="minorBidi"/>
            <w:noProof/>
            <w:lang w:val="en-NZ" w:eastAsia="en-NZ"/>
          </w:rPr>
          <w:tab/>
        </w:r>
        <w:r w:rsidR="00887E60" w:rsidRPr="006E1F2E">
          <w:rPr>
            <w:rStyle w:val="Hyperlink"/>
            <w:noProof/>
          </w:rPr>
          <w:t>Consumer reports</w:t>
        </w:r>
        <w:r w:rsidR="00887E60">
          <w:rPr>
            <w:noProof/>
            <w:webHidden/>
          </w:rPr>
          <w:tab/>
        </w:r>
        <w:r w:rsidR="00887E60">
          <w:rPr>
            <w:noProof/>
            <w:webHidden/>
          </w:rPr>
          <w:fldChar w:fldCharType="begin"/>
        </w:r>
        <w:r w:rsidR="00887E60">
          <w:rPr>
            <w:noProof/>
            <w:webHidden/>
          </w:rPr>
          <w:instrText xml:space="preserve"> PAGEREF _Toc414522800 \h </w:instrText>
        </w:r>
        <w:r w:rsidR="00887E60">
          <w:rPr>
            <w:noProof/>
            <w:webHidden/>
          </w:rPr>
        </w:r>
        <w:r w:rsidR="00887E60">
          <w:rPr>
            <w:noProof/>
            <w:webHidden/>
          </w:rPr>
          <w:fldChar w:fldCharType="separate"/>
        </w:r>
        <w:r w:rsidR="00466B81">
          <w:rPr>
            <w:noProof/>
            <w:webHidden/>
          </w:rPr>
          <w:t>15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1" w:history="1">
        <w:r w:rsidR="00887E60" w:rsidRPr="006E1F2E">
          <w:rPr>
            <w:rStyle w:val="Hyperlink"/>
            <w:noProof/>
          </w:rPr>
          <w:t>3.5.2</w:t>
        </w:r>
        <w:r w:rsidR="00887E60">
          <w:rPr>
            <w:rFonts w:asciiTheme="minorHAnsi" w:eastAsiaTheme="minorEastAsia" w:hAnsiTheme="minorHAnsi" w:cstheme="minorBidi"/>
            <w:noProof/>
            <w:lang w:val="en-NZ" w:eastAsia="en-NZ"/>
          </w:rPr>
          <w:tab/>
        </w:r>
        <w:r w:rsidR="00887E60" w:rsidRPr="006E1F2E">
          <w:rPr>
            <w:rStyle w:val="Hyperlink"/>
            <w:noProof/>
          </w:rPr>
          <w:t>Downgrading the severity of a case report</w:t>
        </w:r>
        <w:r w:rsidR="00887E60">
          <w:rPr>
            <w:noProof/>
            <w:webHidden/>
          </w:rPr>
          <w:tab/>
        </w:r>
        <w:r w:rsidR="00887E60">
          <w:rPr>
            <w:noProof/>
            <w:webHidden/>
          </w:rPr>
          <w:fldChar w:fldCharType="begin"/>
        </w:r>
        <w:r w:rsidR="00887E60">
          <w:rPr>
            <w:noProof/>
            <w:webHidden/>
          </w:rPr>
          <w:instrText xml:space="preserve"> PAGEREF _Toc414522801 \h </w:instrText>
        </w:r>
        <w:r w:rsidR="00887E60">
          <w:rPr>
            <w:noProof/>
            <w:webHidden/>
          </w:rPr>
        </w:r>
        <w:r w:rsidR="00887E60">
          <w:rPr>
            <w:noProof/>
            <w:webHidden/>
          </w:rPr>
          <w:fldChar w:fldCharType="separate"/>
        </w:r>
        <w:r w:rsidR="00466B81">
          <w:rPr>
            <w:noProof/>
            <w:webHidden/>
          </w:rPr>
          <w:t>16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2" w:history="1">
        <w:r w:rsidR="00887E60" w:rsidRPr="006E1F2E">
          <w:rPr>
            <w:rStyle w:val="Hyperlink"/>
            <w:noProof/>
          </w:rPr>
          <w:t>3.5.3</w:t>
        </w:r>
        <w:r w:rsidR="00887E60">
          <w:rPr>
            <w:rFonts w:asciiTheme="minorHAnsi" w:eastAsiaTheme="minorEastAsia" w:hAnsiTheme="minorHAnsi" w:cstheme="minorBidi"/>
            <w:noProof/>
            <w:lang w:val="en-NZ" w:eastAsia="en-NZ"/>
          </w:rPr>
          <w:tab/>
        </w:r>
        <w:r w:rsidR="00887E60" w:rsidRPr="006E1F2E">
          <w:rPr>
            <w:rStyle w:val="Hyperlink"/>
            <w:noProof/>
          </w:rPr>
          <w:t>Adverse event following immunisation</w:t>
        </w:r>
        <w:r w:rsidR="00887E60">
          <w:rPr>
            <w:noProof/>
            <w:webHidden/>
          </w:rPr>
          <w:tab/>
        </w:r>
        <w:r w:rsidR="00887E60">
          <w:rPr>
            <w:noProof/>
            <w:webHidden/>
          </w:rPr>
          <w:fldChar w:fldCharType="begin"/>
        </w:r>
        <w:r w:rsidR="00887E60">
          <w:rPr>
            <w:noProof/>
            <w:webHidden/>
          </w:rPr>
          <w:instrText xml:space="preserve"> PAGEREF _Toc414522802 \h </w:instrText>
        </w:r>
        <w:r w:rsidR="00887E60">
          <w:rPr>
            <w:noProof/>
            <w:webHidden/>
          </w:rPr>
        </w:r>
        <w:r w:rsidR="00887E60">
          <w:rPr>
            <w:noProof/>
            <w:webHidden/>
          </w:rPr>
          <w:fldChar w:fldCharType="separate"/>
        </w:r>
        <w:r w:rsidR="00466B81">
          <w:rPr>
            <w:noProof/>
            <w:webHidden/>
          </w:rPr>
          <w:t>16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3" w:history="1">
        <w:r w:rsidR="00887E60" w:rsidRPr="006E1F2E">
          <w:rPr>
            <w:rStyle w:val="Hyperlink"/>
            <w:noProof/>
          </w:rPr>
          <w:t>3.5.4</w:t>
        </w:r>
        <w:r w:rsidR="00887E60">
          <w:rPr>
            <w:rFonts w:asciiTheme="minorHAnsi" w:eastAsiaTheme="minorEastAsia" w:hAnsiTheme="minorHAnsi" w:cstheme="minorBidi"/>
            <w:noProof/>
            <w:lang w:val="en-NZ" w:eastAsia="en-NZ"/>
          </w:rPr>
          <w:tab/>
        </w:r>
        <w:r w:rsidR="00887E60" w:rsidRPr="006E1F2E">
          <w:rPr>
            <w:rStyle w:val="Hyperlink"/>
            <w:noProof/>
          </w:rPr>
          <w:t>Lack of efficacy</w:t>
        </w:r>
        <w:r w:rsidR="00887E60">
          <w:rPr>
            <w:noProof/>
            <w:webHidden/>
          </w:rPr>
          <w:tab/>
        </w:r>
        <w:r w:rsidR="00887E60">
          <w:rPr>
            <w:noProof/>
            <w:webHidden/>
          </w:rPr>
          <w:fldChar w:fldCharType="begin"/>
        </w:r>
        <w:r w:rsidR="00887E60">
          <w:rPr>
            <w:noProof/>
            <w:webHidden/>
          </w:rPr>
          <w:instrText xml:space="preserve"> PAGEREF _Toc414522803 \h </w:instrText>
        </w:r>
        <w:r w:rsidR="00887E60">
          <w:rPr>
            <w:noProof/>
            <w:webHidden/>
          </w:rPr>
        </w:r>
        <w:r w:rsidR="00887E60">
          <w:rPr>
            <w:noProof/>
            <w:webHidden/>
          </w:rPr>
          <w:fldChar w:fldCharType="separate"/>
        </w:r>
        <w:r w:rsidR="00466B81">
          <w:rPr>
            <w:noProof/>
            <w:webHidden/>
          </w:rPr>
          <w:t>17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4" w:history="1">
        <w:r w:rsidR="00887E60" w:rsidRPr="006E1F2E">
          <w:rPr>
            <w:rStyle w:val="Hyperlink"/>
            <w:noProof/>
          </w:rPr>
          <w:t>3.5.5</w:t>
        </w:r>
        <w:r w:rsidR="00887E60">
          <w:rPr>
            <w:rFonts w:asciiTheme="minorHAnsi" w:eastAsiaTheme="minorEastAsia" w:hAnsiTheme="minorHAnsi" w:cstheme="minorBidi"/>
            <w:noProof/>
            <w:lang w:val="en-NZ" w:eastAsia="en-NZ"/>
          </w:rPr>
          <w:tab/>
        </w:r>
        <w:r w:rsidR="00887E60" w:rsidRPr="006E1F2E">
          <w:rPr>
            <w:rStyle w:val="Hyperlink"/>
            <w:noProof/>
          </w:rPr>
          <w:t>Misuse or abuse</w:t>
        </w:r>
        <w:r w:rsidR="00887E60">
          <w:rPr>
            <w:noProof/>
            <w:webHidden/>
          </w:rPr>
          <w:tab/>
        </w:r>
        <w:r w:rsidR="00887E60">
          <w:rPr>
            <w:noProof/>
            <w:webHidden/>
          </w:rPr>
          <w:fldChar w:fldCharType="begin"/>
        </w:r>
        <w:r w:rsidR="00887E60">
          <w:rPr>
            <w:noProof/>
            <w:webHidden/>
          </w:rPr>
          <w:instrText xml:space="preserve"> PAGEREF _Toc414522804 \h </w:instrText>
        </w:r>
        <w:r w:rsidR="00887E60">
          <w:rPr>
            <w:noProof/>
            <w:webHidden/>
          </w:rPr>
        </w:r>
        <w:r w:rsidR="00887E60">
          <w:rPr>
            <w:noProof/>
            <w:webHidden/>
          </w:rPr>
          <w:fldChar w:fldCharType="separate"/>
        </w:r>
        <w:r w:rsidR="00466B81">
          <w:rPr>
            <w:noProof/>
            <w:webHidden/>
          </w:rPr>
          <w:t>17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5" w:history="1">
        <w:r w:rsidR="00887E60" w:rsidRPr="006E1F2E">
          <w:rPr>
            <w:rStyle w:val="Hyperlink"/>
            <w:noProof/>
          </w:rPr>
          <w:t>3.5.6</w:t>
        </w:r>
        <w:r w:rsidR="00887E60">
          <w:rPr>
            <w:rFonts w:asciiTheme="minorHAnsi" w:eastAsiaTheme="minorEastAsia" w:hAnsiTheme="minorHAnsi" w:cstheme="minorBidi"/>
            <w:noProof/>
            <w:lang w:val="en-NZ" w:eastAsia="en-NZ"/>
          </w:rPr>
          <w:tab/>
        </w:r>
        <w:r w:rsidR="00887E60" w:rsidRPr="006E1F2E">
          <w:rPr>
            <w:rStyle w:val="Hyperlink"/>
            <w:noProof/>
          </w:rPr>
          <w:t>Off-label use</w:t>
        </w:r>
        <w:r w:rsidR="00887E60">
          <w:rPr>
            <w:noProof/>
            <w:webHidden/>
          </w:rPr>
          <w:tab/>
        </w:r>
        <w:r w:rsidR="00887E60">
          <w:rPr>
            <w:noProof/>
            <w:webHidden/>
          </w:rPr>
          <w:fldChar w:fldCharType="begin"/>
        </w:r>
        <w:r w:rsidR="00887E60">
          <w:rPr>
            <w:noProof/>
            <w:webHidden/>
          </w:rPr>
          <w:instrText xml:space="preserve"> PAGEREF _Toc414522805 \h </w:instrText>
        </w:r>
        <w:r w:rsidR="00887E60">
          <w:rPr>
            <w:noProof/>
            <w:webHidden/>
          </w:rPr>
        </w:r>
        <w:r w:rsidR="00887E60">
          <w:rPr>
            <w:noProof/>
            <w:webHidden/>
          </w:rPr>
          <w:fldChar w:fldCharType="separate"/>
        </w:r>
        <w:r w:rsidR="00466B81">
          <w:rPr>
            <w:noProof/>
            <w:webHidden/>
          </w:rPr>
          <w:t>17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6" w:history="1">
        <w:r w:rsidR="00887E60" w:rsidRPr="006E1F2E">
          <w:rPr>
            <w:rStyle w:val="Hyperlink"/>
            <w:noProof/>
          </w:rPr>
          <w:t>3.5.7</w:t>
        </w:r>
        <w:r w:rsidR="00887E60">
          <w:rPr>
            <w:rFonts w:asciiTheme="minorHAnsi" w:eastAsiaTheme="minorEastAsia" w:hAnsiTheme="minorHAnsi" w:cstheme="minorBidi"/>
            <w:noProof/>
            <w:lang w:val="en-NZ" w:eastAsia="en-NZ"/>
          </w:rPr>
          <w:tab/>
        </w:r>
        <w:r w:rsidR="00887E60" w:rsidRPr="006E1F2E">
          <w:rPr>
            <w:rStyle w:val="Hyperlink"/>
            <w:noProof/>
          </w:rPr>
          <w:t>Clinical trials</w:t>
        </w:r>
        <w:r w:rsidR="00887E60">
          <w:rPr>
            <w:noProof/>
            <w:webHidden/>
          </w:rPr>
          <w:tab/>
        </w:r>
        <w:r w:rsidR="00887E60">
          <w:rPr>
            <w:noProof/>
            <w:webHidden/>
          </w:rPr>
          <w:fldChar w:fldCharType="begin"/>
        </w:r>
        <w:r w:rsidR="00887E60">
          <w:rPr>
            <w:noProof/>
            <w:webHidden/>
          </w:rPr>
          <w:instrText xml:space="preserve"> PAGEREF _Toc414522806 \h </w:instrText>
        </w:r>
        <w:r w:rsidR="00887E60">
          <w:rPr>
            <w:noProof/>
            <w:webHidden/>
          </w:rPr>
        </w:r>
        <w:r w:rsidR="00887E60">
          <w:rPr>
            <w:noProof/>
            <w:webHidden/>
          </w:rPr>
          <w:fldChar w:fldCharType="separate"/>
        </w:r>
        <w:r w:rsidR="00466B81">
          <w:rPr>
            <w:noProof/>
            <w:webHidden/>
          </w:rPr>
          <w:t>17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7" w:history="1">
        <w:r w:rsidR="00887E60" w:rsidRPr="006E1F2E">
          <w:rPr>
            <w:rStyle w:val="Hyperlink"/>
            <w:noProof/>
          </w:rPr>
          <w:t>3.5.8</w:t>
        </w:r>
        <w:r w:rsidR="00887E60">
          <w:rPr>
            <w:rFonts w:asciiTheme="minorHAnsi" w:eastAsiaTheme="minorEastAsia" w:hAnsiTheme="minorHAnsi" w:cstheme="minorBidi"/>
            <w:noProof/>
            <w:lang w:val="en-NZ" w:eastAsia="en-NZ"/>
          </w:rPr>
          <w:tab/>
        </w:r>
        <w:r w:rsidR="00887E60" w:rsidRPr="006E1F2E">
          <w:rPr>
            <w:rStyle w:val="Hyperlink"/>
            <w:noProof/>
          </w:rPr>
          <w:t>Post authorisation studies</w:t>
        </w:r>
        <w:r w:rsidR="00887E60">
          <w:rPr>
            <w:noProof/>
            <w:webHidden/>
          </w:rPr>
          <w:tab/>
        </w:r>
        <w:r w:rsidR="00887E60">
          <w:rPr>
            <w:noProof/>
            <w:webHidden/>
          </w:rPr>
          <w:fldChar w:fldCharType="begin"/>
        </w:r>
        <w:r w:rsidR="00887E60">
          <w:rPr>
            <w:noProof/>
            <w:webHidden/>
          </w:rPr>
          <w:instrText xml:space="preserve"> PAGEREF _Toc414522807 \h </w:instrText>
        </w:r>
        <w:r w:rsidR="00887E60">
          <w:rPr>
            <w:noProof/>
            <w:webHidden/>
          </w:rPr>
        </w:r>
        <w:r w:rsidR="00887E60">
          <w:rPr>
            <w:noProof/>
            <w:webHidden/>
          </w:rPr>
          <w:fldChar w:fldCharType="separate"/>
        </w:r>
        <w:r w:rsidR="00466B81">
          <w:rPr>
            <w:noProof/>
            <w:webHidden/>
          </w:rPr>
          <w:t>18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8" w:history="1">
        <w:r w:rsidR="00887E60" w:rsidRPr="006E1F2E">
          <w:rPr>
            <w:rStyle w:val="Hyperlink"/>
            <w:noProof/>
          </w:rPr>
          <w:t>3.5.9</w:t>
        </w:r>
        <w:r w:rsidR="00887E60">
          <w:rPr>
            <w:rFonts w:asciiTheme="minorHAnsi" w:eastAsiaTheme="minorEastAsia" w:hAnsiTheme="minorHAnsi" w:cstheme="minorBidi"/>
            <w:noProof/>
            <w:lang w:val="en-NZ" w:eastAsia="en-NZ"/>
          </w:rPr>
          <w:tab/>
        </w:r>
        <w:r w:rsidR="00887E60" w:rsidRPr="006E1F2E">
          <w:rPr>
            <w:rStyle w:val="Hyperlink"/>
            <w:noProof/>
          </w:rPr>
          <w:t>Medication errors</w:t>
        </w:r>
        <w:r w:rsidR="00887E60">
          <w:rPr>
            <w:noProof/>
            <w:webHidden/>
          </w:rPr>
          <w:tab/>
        </w:r>
        <w:r w:rsidR="00887E60">
          <w:rPr>
            <w:noProof/>
            <w:webHidden/>
          </w:rPr>
          <w:fldChar w:fldCharType="begin"/>
        </w:r>
        <w:r w:rsidR="00887E60">
          <w:rPr>
            <w:noProof/>
            <w:webHidden/>
          </w:rPr>
          <w:instrText xml:space="preserve"> PAGEREF _Toc414522808 \h </w:instrText>
        </w:r>
        <w:r w:rsidR="00887E60">
          <w:rPr>
            <w:noProof/>
            <w:webHidden/>
          </w:rPr>
        </w:r>
        <w:r w:rsidR="00887E60">
          <w:rPr>
            <w:noProof/>
            <w:webHidden/>
          </w:rPr>
          <w:fldChar w:fldCharType="separate"/>
        </w:r>
        <w:r w:rsidR="00466B81">
          <w:rPr>
            <w:noProof/>
            <w:webHidden/>
          </w:rPr>
          <w:t>18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09" w:history="1">
        <w:r w:rsidR="00887E60" w:rsidRPr="006E1F2E">
          <w:rPr>
            <w:rStyle w:val="Hyperlink"/>
            <w:noProof/>
          </w:rPr>
          <w:t>3.5.10</w:t>
        </w:r>
        <w:r w:rsidR="00887E60">
          <w:rPr>
            <w:rFonts w:asciiTheme="minorHAnsi" w:eastAsiaTheme="minorEastAsia" w:hAnsiTheme="minorHAnsi" w:cstheme="minorBidi"/>
            <w:noProof/>
            <w:lang w:val="en-NZ" w:eastAsia="en-NZ"/>
          </w:rPr>
          <w:tab/>
        </w:r>
        <w:r w:rsidR="00887E60" w:rsidRPr="006E1F2E">
          <w:rPr>
            <w:rStyle w:val="Hyperlink"/>
            <w:noProof/>
          </w:rPr>
          <w:t>Overdose or Occupational exposure</w:t>
        </w:r>
        <w:r w:rsidR="00887E60">
          <w:rPr>
            <w:noProof/>
            <w:webHidden/>
          </w:rPr>
          <w:tab/>
        </w:r>
        <w:r w:rsidR="00887E60">
          <w:rPr>
            <w:noProof/>
            <w:webHidden/>
          </w:rPr>
          <w:fldChar w:fldCharType="begin"/>
        </w:r>
        <w:r w:rsidR="00887E60">
          <w:rPr>
            <w:noProof/>
            <w:webHidden/>
          </w:rPr>
          <w:instrText xml:space="preserve"> PAGEREF _Toc414522809 \h </w:instrText>
        </w:r>
        <w:r w:rsidR="00887E60">
          <w:rPr>
            <w:noProof/>
            <w:webHidden/>
          </w:rPr>
        </w:r>
        <w:r w:rsidR="00887E60">
          <w:rPr>
            <w:noProof/>
            <w:webHidden/>
          </w:rPr>
          <w:fldChar w:fldCharType="separate"/>
        </w:r>
        <w:r w:rsidR="00466B81">
          <w:rPr>
            <w:noProof/>
            <w:webHidden/>
          </w:rPr>
          <w:t>18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0" w:history="1">
        <w:r w:rsidR="00887E60" w:rsidRPr="006E1F2E">
          <w:rPr>
            <w:rStyle w:val="Hyperlink"/>
            <w:noProof/>
          </w:rPr>
          <w:t>3.5.11</w:t>
        </w:r>
        <w:r w:rsidR="00887E60">
          <w:rPr>
            <w:rFonts w:asciiTheme="minorHAnsi" w:eastAsiaTheme="minorEastAsia" w:hAnsiTheme="minorHAnsi" w:cstheme="minorBidi"/>
            <w:noProof/>
            <w:lang w:val="en-NZ" w:eastAsia="en-NZ"/>
          </w:rPr>
          <w:tab/>
        </w:r>
        <w:r w:rsidR="00887E60" w:rsidRPr="006E1F2E">
          <w:rPr>
            <w:rStyle w:val="Hyperlink"/>
            <w:noProof/>
          </w:rPr>
          <w:t>Medicines supplied under section 25 or section 29</w:t>
        </w:r>
        <w:r w:rsidR="00887E60">
          <w:rPr>
            <w:noProof/>
            <w:webHidden/>
          </w:rPr>
          <w:tab/>
        </w:r>
        <w:r w:rsidR="00887E60">
          <w:rPr>
            <w:noProof/>
            <w:webHidden/>
          </w:rPr>
          <w:fldChar w:fldCharType="begin"/>
        </w:r>
        <w:r w:rsidR="00887E60">
          <w:rPr>
            <w:noProof/>
            <w:webHidden/>
          </w:rPr>
          <w:instrText xml:space="preserve"> PAGEREF _Toc414522810 \h </w:instrText>
        </w:r>
        <w:r w:rsidR="00887E60">
          <w:rPr>
            <w:noProof/>
            <w:webHidden/>
          </w:rPr>
        </w:r>
        <w:r w:rsidR="00887E60">
          <w:rPr>
            <w:noProof/>
            <w:webHidden/>
          </w:rPr>
          <w:fldChar w:fldCharType="separate"/>
        </w:r>
        <w:r w:rsidR="00466B81">
          <w:rPr>
            <w:noProof/>
            <w:webHidden/>
          </w:rPr>
          <w:t>18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1" w:history="1">
        <w:r w:rsidR="00887E60" w:rsidRPr="006E1F2E">
          <w:rPr>
            <w:rStyle w:val="Hyperlink"/>
            <w:noProof/>
          </w:rPr>
          <w:t>3.5.12</w:t>
        </w:r>
        <w:r w:rsidR="00887E60">
          <w:rPr>
            <w:rFonts w:asciiTheme="minorHAnsi" w:eastAsiaTheme="minorEastAsia" w:hAnsiTheme="minorHAnsi" w:cstheme="minorBidi"/>
            <w:noProof/>
            <w:lang w:val="en-NZ" w:eastAsia="en-NZ"/>
          </w:rPr>
          <w:tab/>
        </w:r>
        <w:r w:rsidR="00887E60" w:rsidRPr="006E1F2E">
          <w:rPr>
            <w:rStyle w:val="Hyperlink"/>
            <w:noProof/>
          </w:rPr>
          <w:t>Period after suspension or withdrawal of approval</w:t>
        </w:r>
        <w:r w:rsidR="00887E60">
          <w:rPr>
            <w:noProof/>
            <w:webHidden/>
          </w:rPr>
          <w:tab/>
        </w:r>
        <w:r w:rsidR="00887E60">
          <w:rPr>
            <w:noProof/>
            <w:webHidden/>
          </w:rPr>
          <w:fldChar w:fldCharType="begin"/>
        </w:r>
        <w:r w:rsidR="00887E60">
          <w:rPr>
            <w:noProof/>
            <w:webHidden/>
          </w:rPr>
          <w:instrText xml:space="preserve"> PAGEREF _Toc414522811 \h </w:instrText>
        </w:r>
        <w:r w:rsidR="00887E60">
          <w:rPr>
            <w:noProof/>
            <w:webHidden/>
          </w:rPr>
        </w:r>
        <w:r w:rsidR="00887E60">
          <w:rPr>
            <w:noProof/>
            <w:webHidden/>
          </w:rPr>
          <w:fldChar w:fldCharType="separate"/>
        </w:r>
        <w:r w:rsidR="00466B81">
          <w:rPr>
            <w:noProof/>
            <w:webHidden/>
          </w:rPr>
          <w:t>18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2" w:history="1">
        <w:r w:rsidR="00887E60" w:rsidRPr="006E1F2E">
          <w:rPr>
            <w:rStyle w:val="Hyperlink"/>
            <w:noProof/>
          </w:rPr>
          <w:t>3.5.13</w:t>
        </w:r>
        <w:r w:rsidR="00887E60">
          <w:rPr>
            <w:rFonts w:asciiTheme="minorHAnsi" w:eastAsiaTheme="minorEastAsia" w:hAnsiTheme="minorHAnsi" w:cstheme="minorBidi"/>
            <w:noProof/>
            <w:lang w:val="en-NZ" w:eastAsia="en-NZ"/>
          </w:rPr>
          <w:tab/>
        </w:r>
        <w:r w:rsidR="00887E60" w:rsidRPr="006E1F2E">
          <w:rPr>
            <w:rStyle w:val="Hyperlink"/>
            <w:noProof/>
          </w:rPr>
          <w:t>Media reports</w:t>
        </w:r>
        <w:r w:rsidR="00887E60">
          <w:rPr>
            <w:noProof/>
            <w:webHidden/>
          </w:rPr>
          <w:tab/>
        </w:r>
        <w:r w:rsidR="00887E60">
          <w:rPr>
            <w:noProof/>
            <w:webHidden/>
          </w:rPr>
          <w:fldChar w:fldCharType="begin"/>
        </w:r>
        <w:r w:rsidR="00887E60">
          <w:rPr>
            <w:noProof/>
            <w:webHidden/>
          </w:rPr>
          <w:instrText xml:space="preserve"> PAGEREF _Toc414522812 \h </w:instrText>
        </w:r>
        <w:r w:rsidR="00887E60">
          <w:rPr>
            <w:noProof/>
            <w:webHidden/>
          </w:rPr>
        </w:r>
        <w:r w:rsidR="00887E60">
          <w:rPr>
            <w:noProof/>
            <w:webHidden/>
          </w:rPr>
          <w:fldChar w:fldCharType="separate"/>
        </w:r>
        <w:r w:rsidR="00466B81">
          <w:rPr>
            <w:noProof/>
            <w:webHidden/>
          </w:rPr>
          <w:t>19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3" w:history="1">
        <w:r w:rsidR="00887E60" w:rsidRPr="006E1F2E">
          <w:rPr>
            <w:rStyle w:val="Hyperlink"/>
            <w:noProof/>
          </w:rPr>
          <w:t>3.5.14</w:t>
        </w:r>
        <w:r w:rsidR="00887E60">
          <w:rPr>
            <w:rFonts w:asciiTheme="minorHAnsi" w:eastAsiaTheme="minorEastAsia" w:hAnsiTheme="minorHAnsi" w:cstheme="minorBidi"/>
            <w:noProof/>
            <w:lang w:val="en-NZ" w:eastAsia="en-NZ"/>
          </w:rPr>
          <w:tab/>
        </w:r>
        <w:r w:rsidR="00887E60" w:rsidRPr="006E1F2E">
          <w:rPr>
            <w:rStyle w:val="Hyperlink"/>
            <w:noProof/>
          </w:rPr>
          <w:t>Reports from the scientific and medical literature</w:t>
        </w:r>
        <w:r w:rsidR="00887E60">
          <w:rPr>
            <w:noProof/>
            <w:webHidden/>
          </w:rPr>
          <w:tab/>
        </w:r>
        <w:r w:rsidR="00887E60">
          <w:rPr>
            <w:noProof/>
            <w:webHidden/>
          </w:rPr>
          <w:fldChar w:fldCharType="begin"/>
        </w:r>
        <w:r w:rsidR="00887E60">
          <w:rPr>
            <w:noProof/>
            <w:webHidden/>
          </w:rPr>
          <w:instrText xml:space="preserve"> PAGEREF _Toc414522813 \h </w:instrText>
        </w:r>
        <w:r w:rsidR="00887E60">
          <w:rPr>
            <w:noProof/>
            <w:webHidden/>
          </w:rPr>
        </w:r>
        <w:r w:rsidR="00887E60">
          <w:rPr>
            <w:noProof/>
            <w:webHidden/>
          </w:rPr>
          <w:fldChar w:fldCharType="separate"/>
        </w:r>
        <w:r w:rsidR="00466B81">
          <w:rPr>
            <w:noProof/>
            <w:webHidden/>
          </w:rPr>
          <w:t>19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4" w:history="1">
        <w:r w:rsidR="00887E60" w:rsidRPr="006E1F2E">
          <w:rPr>
            <w:rStyle w:val="Hyperlink"/>
            <w:noProof/>
          </w:rPr>
          <w:t>3.5.15</w:t>
        </w:r>
        <w:r w:rsidR="00887E60">
          <w:rPr>
            <w:rFonts w:asciiTheme="minorHAnsi" w:eastAsiaTheme="minorEastAsia" w:hAnsiTheme="minorHAnsi" w:cstheme="minorBidi"/>
            <w:noProof/>
            <w:lang w:val="en-NZ" w:eastAsia="en-NZ"/>
          </w:rPr>
          <w:tab/>
        </w:r>
        <w:r w:rsidR="00887E60" w:rsidRPr="006E1F2E">
          <w:rPr>
            <w:rStyle w:val="Hyperlink"/>
            <w:noProof/>
          </w:rPr>
          <w:t>Suspected adverse reactions related to quality defect or falsified medicine</w:t>
        </w:r>
        <w:r w:rsidR="00887E60">
          <w:rPr>
            <w:noProof/>
            <w:webHidden/>
          </w:rPr>
          <w:tab/>
        </w:r>
        <w:r w:rsidR="00887E60">
          <w:rPr>
            <w:noProof/>
            <w:webHidden/>
          </w:rPr>
          <w:fldChar w:fldCharType="begin"/>
        </w:r>
        <w:r w:rsidR="00887E60">
          <w:rPr>
            <w:noProof/>
            <w:webHidden/>
          </w:rPr>
          <w:instrText xml:space="preserve"> PAGEREF _Toc414522814 \h </w:instrText>
        </w:r>
        <w:r w:rsidR="00887E60">
          <w:rPr>
            <w:noProof/>
            <w:webHidden/>
          </w:rPr>
        </w:r>
        <w:r w:rsidR="00887E60">
          <w:rPr>
            <w:noProof/>
            <w:webHidden/>
          </w:rPr>
          <w:fldChar w:fldCharType="separate"/>
        </w:r>
        <w:r w:rsidR="00466B81">
          <w:rPr>
            <w:noProof/>
            <w:webHidden/>
          </w:rPr>
          <w:t>19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5" w:history="1">
        <w:r w:rsidR="00887E60" w:rsidRPr="006E1F2E">
          <w:rPr>
            <w:rStyle w:val="Hyperlink"/>
            <w:noProof/>
          </w:rPr>
          <w:t>3.6</w:t>
        </w:r>
        <w:r w:rsidR="00887E60">
          <w:rPr>
            <w:rFonts w:asciiTheme="minorHAnsi" w:eastAsiaTheme="minorEastAsia" w:hAnsiTheme="minorHAnsi" w:cstheme="minorBidi"/>
            <w:noProof/>
            <w:lang w:val="en-NZ" w:eastAsia="en-NZ"/>
          </w:rPr>
          <w:tab/>
        </w:r>
        <w:r w:rsidR="00887E60" w:rsidRPr="006E1F2E">
          <w:rPr>
            <w:rStyle w:val="Hyperlink"/>
            <w:noProof/>
          </w:rPr>
          <w:t>How to report to CARM</w:t>
        </w:r>
        <w:r w:rsidR="00887E60">
          <w:rPr>
            <w:noProof/>
            <w:webHidden/>
          </w:rPr>
          <w:tab/>
        </w:r>
        <w:r w:rsidR="00887E60">
          <w:rPr>
            <w:noProof/>
            <w:webHidden/>
          </w:rPr>
          <w:fldChar w:fldCharType="begin"/>
        </w:r>
        <w:r w:rsidR="00887E60">
          <w:rPr>
            <w:noProof/>
            <w:webHidden/>
          </w:rPr>
          <w:instrText xml:space="preserve"> PAGEREF _Toc414522815 \h </w:instrText>
        </w:r>
        <w:r w:rsidR="00887E60">
          <w:rPr>
            <w:noProof/>
            <w:webHidden/>
          </w:rPr>
        </w:r>
        <w:r w:rsidR="00887E60">
          <w:rPr>
            <w:noProof/>
            <w:webHidden/>
          </w:rPr>
          <w:fldChar w:fldCharType="separate"/>
        </w:r>
        <w:r w:rsidR="00466B81">
          <w:rPr>
            <w:noProof/>
            <w:webHidden/>
          </w:rPr>
          <w:t>20</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6" w:history="1">
        <w:r w:rsidR="00887E60" w:rsidRPr="006E1F2E">
          <w:rPr>
            <w:rStyle w:val="Hyperlink"/>
            <w:noProof/>
          </w:rPr>
          <w:t>3.7</w:t>
        </w:r>
        <w:r w:rsidR="00887E60">
          <w:rPr>
            <w:rFonts w:asciiTheme="minorHAnsi" w:eastAsiaTheme="minorEastAsia" w:hAnsiTheme="minorHAnsi" w:cstheme="minorBidi"/>
            <w:noProof/>
            <w:lang w:val="en-NZ" w:eastAsia="en-NZ"/>
          </w:rPr>
          <w:tab/>
        </w:r>
        <w:r w:rsidR="00887E60" w:rsidRPr="006E1F2E">
          <w:rPr>
            <w:rStyle w:val="Hyperlink"/>
            <w:noProof/>
          </w:rPr>
          <w:t>How to report to Medsafe</w:t>
        </w:r>
        <w:r w:rsidR="00887E60">
          <w:rPr>
            <w:noProof/>
            <w:webHidden/>
          </w:rPr>
          <w:tab/>
        </w:r>
        <w:r w:rsidR="00887E60">
          <w:rPr>
            <w:noProof/>
            <w:webHidden/>
          </w:rPr>
          <w:fldChar w:fldCharType="begin"/>
        </w:r>
        <w:r w:rsidR="00887E60">
          <w:rPr>
            <w:noProof/>
            <w:webHidden/>
          </w:rPr>
          <w:instrText xml:space="preserve"> PAGEREF _Toc414522816 \h </w:instrText>
        </w:r>
        <w:r w:rsidR="00887E60">
          <w:rPr>
            <w:noProof/>
            <w:webHidden/>
          </w:rPr>
        </w:r>
        <w:r w:rsidR="00887E60">
          <w:rPr>
            <w:noProof/>
            <w:webHidden/>
          </w:rPr>
          <w:fldChar w:fldCharType="separate"/>
        </w:r>
        <w:r w:rsidR="00466B81">
          <w:rPr>
            <w:noProof/>
            <w:webHidden/>
          </w:rPr>
          <w:t>20</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7" w:history="1">
        <w:r w:rsidR="00887E60" w:rsidRPr="006E1F2E">
          <w:rPr>
            <w:rStyle w:val="Hyperlink"/>
            <w:noProof/>
          </w:rPr>
          <w:t>3.8</w:t>
        </w:r>
        <w:r w:rsidR="00887E60">
          <w:rPr>
            <w:rFonts w:asciiTheme="minorHAnsi" w:eastAsiaTheme="minorEastAsia" w:hAnsiTheme="minorHAnsi" w:cstheme="minorBidi"/>
            <w:noProof/>
            <w:lang w:val="en-NZ" w:eastAsia="en-NZ"/>
          </w:rPr>
          <w:tab/>
        </w:r>
        <w:r w:rsidR="00887E60" w:rsidRPr="006E1F2E">
          <w:rPr>
            <w:rStyle w:val="Hyperlink"/>
            <w:noProof/>
          </w:rPr>
          <w:t>Suspected Medicine Adverse Reaction Search</w:t>
        </w:r>
        <w:r w:rsidR="00887E60">
          <w:rPr>
            <w:noProof/>
            <w:webHidden/>
          </w:rPr>
          <w:tab/>
        </w:r>
        <w:r w:rsidR="00887E60">
          <w:rPr>
            <w:noProof/>
            <w:webHidden/>
          </w:rPr>
          <w:fldChar w:fldCharType="begin"/>
        </w:r>
        <w:r w:rsidR="00887E60">
          <w:rPr>
            <w:noProof/>
            <w:webHidden/>
          </w:rPr>
          <w:instrText xml:space="preserve"> PAGEREF _Toc414522817 \h </w:instrText>
        </w:r>
        <w:r w:rsidR="00887E60">
          <w:rPr>
            <w:noProof/>
            <w:webHidden/>
          </w:rPr>
        </w:r>
        <w:r w:rsidR="00887E60">
          <w:rPr>
            <w:noProof/>
            <w:webHidden/>
          </w:rPr>
          <w:fldChar w:fldCharType="separate"/>
        </w:r>
        <w:r w:rsidR="00466B81">
          <w:rPr>
            <w:noProof/>
            <w:webHidden/>
          </w:rPr>
          <w:t>20</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818" w:history="1">
        <w:r w:rsidR="00887E60" w:rsidRPr="006E1F2E">
          <w:rPr>
            <w:rStyle w:val="Hyperlink"/>
            <w:noProof/>
          </w:rPr>
          <w:t>Section 4:</w:t>
        </w:r>
        <w:r w:rsidR="00887E60">
          <w:rPr>
            <w:rFonts w:asciiTheme="minorHAnsi" w:eastAsiaTheme="minorEastAsia" w:hAnsiTheme="minorHAnsi" w:cstheme="minorBidi"/>
            <w:noProof/>
            <w:lang w:val="en-NZ" w:eastAsia="en-NZ"/>
          </w:rPr>
          <w:tab/>
        </w:r>
        <w:r w:rsidR="00887E60" w:rsidRPr="006E1F2E">
          <w:rPr>
            <w:rStyle w:val="Hyperlink"/>
            <w:noProof/>
          </w:rPr>
          <w:t>Signal Management Process</w:t>
        </w:r>
        <w:r w:rsidR="00887E60">
          <w:rPr>
            <w:noProof/>
            <w:webHidden/>
          </w:rPr>
          <w:tab/>
        </w:r>
        <w:r w:rsidR="00887E60">
          <w:rPr>
            <w:noProof/>
            <w:webHidden/>
          </w:rPr>
          <w:fldChar w:fldCharType="begin"/>
        </w:r>
        <w:r w:rsidR="00887E60">
          <w:rPr>
            <w:noProof/>
            <w:webHidden/>
          </w:rPr>
          <w:instrText xml:space="preserve"> PAGEREF _Toc414522818 \h </w:instrText>
        </w:r>
        <w:r w:rsidR="00887E60">
          <w:rPr>
            <w:noProof/>
            <w:webHidden/>
          </w:rPr>
        </w:r>
        <w:r w:rsidR="00887E60">
          <w:rPr>
            <w:noProof/>
            <w:webHidden/>
          </w:rPr>
          <w:fldChar w:fldCharType="separate"/>
        </w:r>
        <w:r w:rsidR="00466B81">
          <w:rPr>
            <w:noProof/>
            <w:webHidden/>
          </w:rPr>
          <w:t>22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19" w:history="1">
        <w:r w:rsidR="00887E60" w:rsidRPr="006E1F2E">
          <w:rPr>
            <w:rStyle w:val="Hyperlink"/>
            <w:noProof/>
          </w:rPr>
          <w:t>4.1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_Toc414522819 \h </w:instrText>
        </w:r>
        <w:r w:rsidR="00887E60">
          <w:rPr>
            <w:noProof/>
            <w:webHidden/>
          </w:rPr>
        </w:r>
        <w:r w:rsidR="00887E60">
          <w:rPr>
            <w:noProof/>
            <w:webHidden/>
          </w:rPr>
          <w:fldChar w:fldCharType="separate"/>
        </w:r>
        <w:r w:rsidR="00466B81">
          <w:rPr>
            <w:noProof/>
            <w:webHidden/>
          </w:rPr>
          <w:t>22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0" w:history="1">
        <w:r w:rsidR="00887E60" w:rsidRPr="006E1F2E">
          <w:rPr>
            <w:rStyle w:val="Hyperlink"/>
            <w:noProof/>
          </w:rPr>
          <w:t>4.2</w:t>
        </w:r>
        <w:r w:rsidR="00887E60">
          <w:rPr>
            <w:rFonts w:asciiTheme="minorHAnsi" w:eastAsiaTheme="minorEastAsia" w:hAnsiTheme="minorHAnsi" w:cstheme="minorBidi"/>
            <w:noProof/>
            <w:lang w:val="en-NZ" w:eastAsia="en-NZ"/>
          </w:rPr>
          <w:tab/>
        </w:r>
        <w:r w:rsidR="00887E60" w:rsidRPr="006E1F2E">
          <w:rPr>
            <w:rStyle w:val="Hyperlink"/>
            <w:noProof/>
          </w:rPr>
          <w:t>Signal management process</w:t>
        </w:r>
        <w:r w:rsidR="00887E60">
          <w:rPr>
            <w:noProof/>
            <w:webHidden/>
          </w:rPr>
          <w:tab/>
        </w:r>
        <w:r w:rsidR="00887E60">
          <w:rPr>
            <w:noProof/>
            <w:webHidden/>
          </w:rPr>
          <w:fldChar w:fldCharType="begin"/>
        </w:r>
        <w:r w:rsidR="00887E60">
          <w:rPr>
            <w:noProof/>
            <w:webHidden/>
          </w:rPr>
          <w:instrText xml:space="preserve"> PAGEREF _Toc414522820 \h </w:instrText>
        </w:r>
        <w:r w:rsidR="00887E60">
          <w:rPr>
            <w:noProof/>
            <w:webHidden/>
          </w:rPr>
        </w:r>
        <w:r w:rsidR="00887E60">
          <w:rPr>
            <w:noProof/>
            <w:webHidden/>
          </w:rPr>
          <w:fldChar w:fldCharType="separate"/>
        </w:r>
        <w:r w:rsidR="00466B81">
          <w:rPr>
            <w:noProof/>
            <w:webHidden/>
          </w:rPr>
          <w:t>22</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1" w:history="1">
        <w:r w:rsidR="00887E60" w:rsidRPr="006E1F2E">
          <w:rPr>
            <w:rStyle w:val="Hyperlink"/>
            <w:noProof/>
          </w:rPr>
          <w:t>4.2.1</w:t>
        </w:r>
        <w:r w:rsidR="00887E60">
          <w:rPr>
            <w:rFonts w:asciiTheme="minorHAnsi" w:eastAsiaTheme="minorEastAsia" w:hAnsiTheme="minorHAnsi" w:cstheme="minorBidi"/>
            <w:noProof/>
            <w:lang w:val="en-NZ" w:eastAsia="en-NZ"/>
          </w:rPr>
          <w:tab/>
        </w:r>
        <w:r w:rsidR="00887E60" w:rsidRPr="006E1F2E">
          <w:rPr>
            <w:rStyle w:val="Hyperlink"/>
            <w:noProof/>
          </w:rPr>
          <w:t>Signal detection</w:t>
        </w:r>
        <w:r w:rsidR="00887E60">
          <w:rPr>
            <w:noProof/>
            <w:webHidden/>
          </w:rPr>
          <w:tab/>
        </w:r>
        <w:r w:rsidR="00887E60">
          <w:rPr>
            <w:noProof/>
            <w:webHidden/>
          </w:rPr>
          <w:fldChar w:fldCharType="begin"/>
        </w:r>
        <w:r w:rsidR="00887E60">
          <w:rPr>
            <w:noProof/>
            <w:webHidden/>
          </w:rPr>
          <w:instrText xml:space="preserve"> PAGEREF _Toc414522821 \h </w:instrText>
        </w:r>
        <w:r w:rsidR="00887E60">
          <w:rPr>
            <w:noProof/>
            <w:webHidden/>
          </w:rPr>
        </w:r>
        <w:r w:rsidR="00887E60">
          <w:rPr>
            <w:noProof/>
            <w:webHidden/>
          </w:rPr>
          <w:fldChar w:fldCharType="separate"/>
        </w:r>
        <w:r w:rsidR="00466B81">
          <w:rPr>
            <w:noProof/>
            <w:webHidden/>
          </w:rPr>
          <w:t>23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2" w:history="1">
        <w:r w:rsidR="00887E60" w:rsidRPr="006E1F2E">
          <w:rPr>
            <w:rStyle w:val="Hyperlink"/>
            <w:noProof/>
          </w:rPr>
          <w:t>4.2.2</w:t>
        </w:r>
        <w:r w:rsidR="00887E60">
          <w:rPr>
            <w:rFonts w:asciiTheme="minorHAnsi" w:eastAsiaTheme="minorEastAsia" w:hAnsiTheme="minorHAnsi" w:cstheme="minorBidi"/>
            <w:noProof/>
            <w:lang w:val="en-NZ" w:eastAsia="en-NZ"/>
          </w:rPr>
          <w:tab/>
        </w:r>
        <w:r w:rsidR="00887E60" w:rsidRPr="006E1F2E">
          <w:rPr>
            <w:rStyle w:val="Hyperlink"/>
            <w:noProof/>
          </w:rPr>
          <w:t>Signal validation</w:t>
        </w:r>
        <w:r w:rsidR="00887E60">
          <w:rPr>
            <w:noProof/>
            <w:webHidden/>
          </w:rPr>
          <w:tab/>
        </w:r>
        <w:r w:rsidR="00887E60">
          <w:rPr>
            <w:noProof/>
            <w:webHidden/>
          </w:rPr>
          <w:fldChar w:fldCharType="begin"/>
        </w:r>
        <w:r w:rsidR="00887E60">
          <w:rPr>
            <w:noProof/>
            <w:webHidden/>
          </w:rPr>
          <w:instrText xml:space="preserve"> PAGEREF _Toc414522822 \h </w:instrText>
        </w:r>
        <w:r w:rsidR="00887E60">
          <w:rPr>
            <w:noProof/>
            <w:webHidden/>
          </w:rPr>
        </w:r>
        <w:r w:rsidR="00887E60">
          <w:rPr>
            <w:noProof/>
            <w:webHidden/>
          </w:rPr>
          <w:fldChar w:fldCharType="separate"/>
        </w:r>
        <w:r w:rsidR="00466B81">
          <w:rPr>
            <w:noProof/>
            <w:webHidden/>
          </w:rPr>
          <w:t>23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3" w:history="1">
        <w:r w:rsidR="00887E60" w:rsidRPr="006E1F2E">
          <w:rPr>
            <w:rStyle w:val="Hyperlink"/>
            <w:noProof/>
          </w:rPr>
          <w:t>4.2.3</w:t>
        </w:r>
        <w:r w:rsidR="00887E60">
          <w:rPr>
            <w:rFonts w:asciiTheme="minorHAnsi" w:eastAsiaTheme="minorEastAsia" w:hAnsiTheme="minorHAnsi" w:cstheme="minorBidi"/>
            <w:noProof/>
            <w:lang w:val="en-NZ" w:eastAsia="en-NZ"/>
          </w:rPr>
          <w:tab/>
        </w:r>
        <w:r w:rsidR="00887E60" w:rsidRPr="006E1F2E">
          <w:rPr>
            <w:rStyle w:val="Hyperlink"/>
            <w:noProof/>
          </w:rPr>
          <w:t>Signal analysis and prioritisation</w:t>
        </w:r>
        <w:r w:rsidR="00887E60">
          <w:rPr>
            <w:noProof/>
            <w:webHidden/>
          </w:rPr>
          <w:tab/>
        </w:r>
        <w:r w:rsidR="00887E60">
          <w:rPr>
            <w:noProof/>
            <w:webHidden/>
          </w:rPr>
          <w:fldChar w:fldCharType="begin"/>
        </w:r>
        <w:r w:rsidR="00887E60">
          <w:rPr>
            <w:noProof/>
            <w:webHidden/>
          </w:rPr>
          <w:instrText xml:space="preserve"> PAGEREF _Toc414522823 \h </w:instrText>
        </w:r>
        <w:r w:rsidR="00887E60">
          <w:rPr>
            <w:noProof/>
            <w:webHidden/>
          </w:rPr>
        </w:r>
        <w:r w:rsidR="00887E60">
          <w:rPr>
            <w:noProof/>
            <w:webHidden/>
          </w:rPr>
          <w:fldChar w:fldCharType="separate"/>
        </w:r>
        <w:r w:rsidR="00466B81">
          <w:rPr>
            <w:noProof/>
            <w:webHidden/>
          </w:rPr>
          <w:t>23</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4" w:history="1">
        <w:r w:rsidR="00887E60" w:rsidRPr="006E1F2E">
          <w:rPr>
            <w:rStyle w:val="Hyperlink"/>
            <w:noProof/>
          </w:rPr>
          <w:t>4.2.4</w:t>
        </w:r>
        <w:r w:rsidR="00887E60">
          <w:rPr>
            <w:rFonts w:asciiTheme="minorHAnsi" w:eastAsiaTheme="minorEastAsia" w:hAnsiTheme="minorHAnsi" w:cstheme="minorBidi"/>
            <w:noProof/>
            <w:lang w:val="en-NZ" w:eastAsia="en-NZ"/>
          </w:rPr>
          <w:tab/>
        </w:r>
        <w:r w:rsidR="00887E60" w:rsidRPr="006E1F2E">
          <w:rPr>
            <w:rStyle w:val="Hyperlink"/>
            <w:noProof/>
          </w:rPr>
          <w:t>Signal assessment</w:t>
        </w:r>
        <w:r w:rsidR="00887E60">
          <w:rPr>
            <w:noProof/>
            <w:webHidden/>
          </w:rPr>
          <w:tab/>
        </w:r>
        <w:r w:rsidR="00887E60">
          <w:rPr>
            <w:noProof/>
            <w:webHidden/>
          </w:rPr>
          <w:fldChar w:fldCharType="begin"/>
        </w:r>
        <w:r w:rsidR="00887E60">
          <w:rPr>
            <w:noProof/>
            <w:webHidden/>
          </w:rPr>
          <w:instrText xml:space="preserve"> PAGEREF _Toc414522824 \h </w:instrText>
        </w:r>
        <w:r w:rsidR="00887E60">
          <w:rPr>
            <w:noProof/>
            <w:webHidden/>
          </w:rPr>
        </w:r>
        <w:r w:rsidR="00887E60">
          <w:rPr>
            <w:noProof/>
            <w:webHidden/>
          </w:rPr>
          <w:fldChar w:fldCharType="separate"/>
        </w:r>
        <w:r w:rsidR="00466B81">
          <w:rPr>
            <w:noProof/>
            <w:webHidden/>
          </w:rPr>
          <w:t>24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5" w:history="1">
        <w:r w:rsidR="00887E60" w:rsidRPr="006E1F2E">
          <w:rPr>
            <w:rStyle w:val="Hyperlink"/>
            <w:noProof/>
          </w:rPr>
          <w:t>4.3</w:t>
        </w:r>
        <w:r w:rsidR="00887E60">
          <w:rPr>
            <w:rFonts w:asciiTheme="minorHAnsi" w:eastAsiaTheme="minorEastAsia" w:hAnsiTheme="minorHAnsi" w:cstheme="minorBidi"/>
            <w:noProof/>
            <w:lang w:val="en-NZ" w:eastAsia="en-NZ"/>
          </w:rPr>
          <w:tab/>
        </w:r>
        <w:r w:rsidR="00887E60" w:rsidRPr="006E1F2E">
          <w:rPr>
            <w:rStyle w:val="Hyperlink"/>
            <w:noProof/>
          </w:rPr>
          <w:t>Outcomes of signal management process</w:t>
        </w:r>
        <w:r w:rsidR="00887E60">
          <w:rPr>
            <w:noProof/>
            <w:webHidden/>
          </w:rPr>
          <w:tab/>
        </w:r>
        <w:r w:rsidR="00887E60">
          <w:rPr>
            <w:noProof/>
            <w:webHidden/>
          </w:rPr>
          <w:fldChar w:fldCharType="begin"/>
        </w:r>
        <w:r w:rsidR="00887E60">
          <w:rPr>
            <w:noProof/>
            <w:webHidden/>
          </w:rPr>
          <w:instrText xml:space="preserve"> PAGEREF _Toc414522825 \h </w:instrText>
        </w:r>
        <w:r w:rsidR="00887E60">
          <w:rPr>
            <w:noProof/>
            <w:webHidden/>
          </w:rPr>
        </w:r>
        <w:r w:rsidR="00887E60">
          <w:rPr>
            <w:noProof/>
            <w:webHidden/>
          </w:rPr>
          <w:fldChar w:fldCharType="separate"/>
        </w:r>
        <w:r w:rsidR="00466B81">
          <w:rPr>
            <w:noProof/>
            <w:webHidden/>
          </w:rPr>
          <w:t>24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6" w:history="1">
        <w:r w:rsidR="00887E60" w:rsidRPr="006E1F2E">
          <w:rPr>
            <w:rStyle w:val="Hyperlink"/>
            <w:noProof/>
          </w:rPr>
          <w:t>4.4</w:t>
        </w:r>
        <w:r w:rsidR="00887E60">
          <w:rPr>
            <w:rFonts w:asciiTheme="minorHAnsi" w:eastAsiaTheme="minorEastAsia" w:hAnsiTheme="minorHAnsi" w:cstheme="minorBidi"/>
            <w:noProof/>
            <w:lang w:val="en-NZ" w:eastAsia="en-NZ"/>
          </w:rPr>
          <w:tab/>
        </w:r>
        <w:r w:rsidR="00887E60" w:rsidRPr="006E1F2E">
          <w:rPr>
            <w:rStyle w:val="Hyperlink"/>
            <w:noProof/>
          </w:rPr>
          <w:t>Quality requirements</w:t>
        </w:r>
        <w:r w:rsidR="00887E60">
          <w:rPr>
            <w:noProof/>
            <w:webHidden/>
          </w:rPr>
          <w:tab/>
        </w:r>
        <w:r w:rsidR="00887E60">
          <w:rPr>
            <w:noProof/>
            <w:webHidden/>
          </w:rPr>
          <w:fldChar w:fldCharType="begin"/>
        </w:r>
        <w:r w:rsidR="00887E60">
          <w:rPr>
            <w:noProof/>
            <w:webHidden/>
          </w:rPr>
          <w:instrText xml:space="preserve"> PAGEREF _Toc414522826 \h </w:instrText>
        </w:r>
        <w:r w:rsidR="00887E60">
          <w:rPr>
            <w:noProof/>
            <w:webHidden/>
          </w:rPr>
        </w:r>
        <w:r w:rsidR="00887E60">
          <w:rPr>
            <w:noProof/>
            <w:webHidden/>
          </w:rPr>
          <w:fldChar w:fldCharType="separate"/>
        </w:r>
        <w:r w:rsidR="00466B81">
          <w:rPr>
            <w:noProof/>
            <w:webHidden/>
          </w:rPr>
          <w:t>24</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7" w:history="1">
        <w:r w:rsidR="00887E60" w:rsidRPr="006E1F2E">
          <w:rPr>
            <w:rStyle w:val="Hyperlink"/>
            <w:noProof/>
          </w:rPr>
          <w:t>4.5</w:t>
        </w:r>
        <w:r w:rsidR="00887E60">
          <w:rPr>
            <w:rFonts w:asciiTheme="minorHAnsi" w:eastAsiaTheme="minorEastAsia" w:hAnsiTheme="minorHAnsi" w:cstheme="minorBidi"/>
            <w:noProof/>
            <w:lang w:val="en-NZ" w:eastAsia="en-NZ"/>
          </w:rPr>
          <w:tab/>
        </w:r>
        <w:r w:rsidR="00887E60" w:rsidRPr="006E1F2E">
          <w:rPr>
            <w:rStyle w:val="Hyperlink"/>
            <w:noProof/>
          </w:rPr>
          <w:t>Early Warning System</w:t>
        </w:r>
        <w:r w:rsidR="00887E60">
          <w:rPr>
            <w:noProof/>
            <w:webHidden/>
          </w:rPr>
          <w:tab/>
        </w:r>
        <w:r w:rsidR="00887E60">
          <w:rPr>
            <w:noProof/>
            <w:webHidden/>
          </w:rPr>
          <w:fldChar w:fldCharType="begin"/>
        </w:r>
        <w:r w:rsidR="00887E60">
          <w:rPr>
            <w:noProof/>
            <w:webHidden/>
          </w:rPr>
          <w:instrText xml:space="preserve"> PAGEREF _Toc414522827 \h </w:instrText>
        </w:r>
        <w:r w:rsidR="00887E60">
          <w:rPr>
            <w:noProof/>
            <w:webHidden/>
          </w:rPr>
        </w:r>
        <w:r w:rsidR="00887E60">
          <w:rPr>
            <w:noProof/>
            <w:webHidden/>
          </w:rPr>
          <w:fldChar w:fldCharType="separate"/>
        </w:r>
        <w:r w:rsidR="00466B81">
          <w:rPr>
            <w:noProof/>
            <w:webHidden/>
          </w:rPr>
          <w:t>25</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28" w:history="1">
        <w:r w:rsidR="00887E60" w:rsidRPr="006E1F2E">
          <w:rPr>
            <w:rStyle w:val="Hyperlink"/>
            <w:noProof/>
          </w:rPr>
          <w:t>4.6</w:t>
        </w:r>
        <w:r w:rsidR="00887E60">
          <w:rPr>
            <w:rFonts w:asciiTheme="minorHAnsi" w:eastAsiaTheme="minorEastAsia" w:hAnsiTheme="minorHAnsi" w:cstheme="minorBidi"/>
            <w:noProof/>
            <w:lang w:val="en-NZ" w:eastAsia="en-NZ"/>
          </w:rPr>
          <w:tab/>
        </w:r>
        <w:r w:rsidR="00887E60" w:rsidRPr="006E1F2E">
          <w:rPr>
            <w:rStyle w:val="Hyperlink"/>
            <w:bCs/>
            <w:noProof/>
          </w:rPr>
          <w:t xml:space="preserve"> Medicines Monitoring </w:t>
        </w:r>
        <w:r w:rsidR="00887E60" w:rsidRPr="006E1F2E">
          <w:rPr>
            <w:rStyle w:val="Hyperlink"/>
            <w:noProof/>
            <w:lang w:val="en-NZ" w:eastAsia="en-NZ"/>
          </w:rPr>
          <w:drawing>
            <wp:inline distT="0" distB="0" distL="0" distR="0" wp14:anchorId="6E7407FC" wp14:editId="74634DFF">
              <wp:extent cx="239476" cy="219456"/>
              <wp:effectExtent l="0" t="0" r="8255" b="9525"/>
              <wp:docPr id="8" name="Picture 8" descr="M²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²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3" cy="221708"/>
                      </a:xfrm>
                      <a:prstGeom prst="rect">
                        <a:avLst/>
                      </a:prstGeom>
                      <a:noFill/>
                      <a:ln>
                        <a:noFill/>
                      </a:ln>
                    </pic:spPr>
                  </pic:pic>
                </a:graphicData>
              </a:graphic>
            </wp:inline>
          </w:drawing>
        </w:r>
        <w:r w:rsidR="00887E60">
          <w:rPr>
            <w:noProof/>
            <w:webHidden/>
          </w:rPr>
          <w:tab/>
        </w:r>
        <w:r w:rsidR="00887E60">
          <w:rPr>
            <w:noProof/>
            <w:webHidden/>
          </w:rPr>
          <w:fldChar w:fldCharType="begin"/>
        </w:r>
        <w:r w:rsidR="00887E60">
          <w:rPr>
            <w:noProof/>
            <w:webHidden/>
          </w:rPr>
          <w:instrText xml:space="preserve"> PAGEREF _Toc414522828 \h </w:instrText>
        </w:r>
        <w:r w:rsidR="00887E60">
          <w:rPr>
            <w:noProof/>
            <w:webHidden/>
          </w:rPr>
        </w:r>
        <w:r w:rsidR="00887E60">
          <w:rPr>
            <w:noProof/>
            <w:webHidden/>
          </w:rPr>
          <w:fldChar w:fldCharType="separate"/>
        </w:r>
        <w:r w:rsidR="00466B81">
          <w:rPr>
            <w:noProof/>
            <w:webHidden/>
          </w:rPr>
          <w:t>25</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829" w:history="1">
        <w:r w:rsidR="00887E60" w:rsidRPr="006E1F2E">
          <w:rPr>
            <w:rStyle w:val="Hyperlink"/>
            <w:noProof/>
          </w:rPr>
          <w:t>Section 5:</w:t>
        </w:r>
        <w:r w:rsidR="00887E60">
          <w:rPr>
            <w:rFonts w:asciiTheme="minorHAnsi" w:eastAsiaTheme="minorEastAsia" w:hAnsiTheme="minorHAnsi" w:cstheme="minorBidi"/>
            <w:noProof/>
            <w:lang w:val="en-NZ" w:eastAsia="en-NZ"/>
          </w:rPr>
          <w:tab/>
        </w:r>
        <w:r w:rsidR="00887E60" w:rsidRPr="006E1F2E">
          <w:rPr>
            <w:rStyle w:val="Hyperlink"/>
            <w:noProof/>
          </w:rPr>
          <w:t>Significant Safety Issues</w:t>
        </w:r>
        <w:r w:rsidR="00887E60">
          <w:rPr>
            <w:noProof/>
            <w:webHidden/>
          </w:rPr>
          <w:tab/>
        </w:r>
        <w:r w:rsidR="00887E60">
          <w:rPr>
            <w:noProof/>
            <w:webHidden/>
          </w:rPr>
          <w:fldChar w:fldCharType="begin"/>
        </w:r>
        <w:r w:rsidR="00887E60">
          <w:rPr>
            <w:noProof/>
            <w:webHidden/>
          </w:rPr>
          <w:instrText xml:space="preserve"> PAGEREF _Toc414522829 \h </w:instrText>
        </w:r>
        <w:r w:rsidR="00887E60">
          <w:rPr>
            <w:noProof/>
            <w:webHidden/>
          </w:rPr>
        </w:r>
        <w:r w:rsidR="00887E60">
          <w:rPr>
            <w:noProof/>
            <w:webHidden/>
          </w:rPr>
          <w:fldChar w:fldCharType="separate"/>
        </w:r>
        <w:r w:rsidR="00466B81">
          <w:rPr>
            <w:noProof/>
            <w:webHidden/>
          </w:rPr>
          <w:t>26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0" w:history="1">
        <w:r w:rsidR="00887E60" w:rsidRPr="006E1F2E">
          <w:rPr>
            <w:rStyle w:val="Hyperlink"/>
            <w:noProof/>
          </w:rPr>
          <w:t>5.1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_Toc414522830 \h </w:instrText>
        </w:r>
        <w:r w:rsidR="00887E60">
          <w:rPr>
            <w:noProof/>
            <w:webHidden/>
          </w:rPr>
        </w:r>
        <w:r w:rsidR="00887E60">
          <w:rPr>
            <w:noProof/>
            <w:webHidden/>
          </w:rPr>
          <w:fldChar w:fldCharType="separate"/>
        </w:r>
        <w:r w:rsidR="00466B81">
          <w:rPr>
            <w:noProof/>
            <w:webHidden/>
          </w:rPr>
          <w:t>26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1" w:history="1">
        <w:r w:rsidR="00887E60" w:rsidRPr="006E1F2E">
          <w:rPr>
            <w:rStyle w:val="Hyperlink"/>
            <w:noProof/>
          </w:rPr>
          <w:t>5.2</w:t>
        </w:r>
        <w:r w:rsidR="00887E60">
          <w:rPr>
            <w:rFonts w:asciiTheme="minorHAnsi" w:eastAsiaTheme="minorEastAsia" w:hAnsiTheme="minorHAnsi" w:cstheme="minorBidi"/>
            <w:noProof/>
            <w:lang w:val="en-NZ" w:eastAsia="en-NZ"/>
          </w:rPr>
          <w:tab/>
        </w:r>
        <w:r w:rsidR="00887E60" w:rsidRPr="006E1F2E">
          <w:rPr>
            <w:rStyle w:val="Hyperlink"/>
            <w:noProof/>
          </w:rPr>
          <w:t>What are significant safety issues</w:t>
        </w:r>
        <w:r w:rsidR="00887E60">
          <w:rPr>
            <w:noProof/>
            <w:webHidden/>
          </w:rPr>
          <w:tab/>
        </w:r>
        <w:r w:rsidR="00887E60">
          <w:rPr>
            <w:noProof/>
            <w:webHidden/>
          </w:rPr>
          <w:fldChar w:fldCharType="begin"/>
        </w:r>
        <w:r w:rsidR="00887E60">
          <w:rPr>
            <w:noProof/>
            <w:webHidden/>
          </w:rPr>
          <w:instrText xml:space="preserve"> PAGEREF _Toc414522831 \h </w:instrText>
        </w:r>
        <w:r w:rsidR="00887E60">
          <w:rPr>
            <w:noProof/>
            <w:webHidden/>
          </w:rPr>
        </w:r>
        <w:r w:rsidR="00887E60">
          <w:rPr>
            <w:noProof/>
            <w:webHidden/>
          </w:rPr>
          <w:fldChar w:fldCharType="separate"/>
        </w:r>
        <w:r w:rsidR="00466B81">
          <w:rPr>
            <w:noProof/>
            <w:webHidden/>
          </w:rPr>
          <w:t>26</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2" w:history="1">
        <w:r w:rsidR="00887E60" w:rsidRPr="006E1F2E">
          <w:rPr>
            <w:rStyle w:val="Hyperlink"/>
            <w:noProof/>
          </w:rPr>
          <w:t>5.3</w:t>
        </w:r>
        <w:r w:rsidR="00887E60">
          <w:rPr>
            <w:rFonts w:asciiTheme="minorHAnsi" w:eastAsiaTheme="minorEastAsia" w:hAnsiTheme="minorHAnsi" w:cstheme="minorBidi"/>
            <w:noProof/>
            <w:lang w:val="en-NZ" w:eastAsia="en-NZ"/>
          </w:rPr>
          <w:tab/>
        </w:r>
        <w:r w:rsidR="00887E60" w:rsidRPr="006E1F2E">
          <w:rPr>
            <w:rStyle w:val="Hyperlink"/>
            <w:noProof/>
          </w:rPr>
          <w:t>Timeframe for reporting significant safety issues</w:t>
        </w:r>
        <w:r w:rsidR="00887E60">
          <w:rPr>
            <w:noProof/>
            <w:webHidden/>
          </w:rPr>
          <w:tab/>
        </w:r>
        <w:r w:rsidR="00887E60">
          <w:rPr>
            <w:noProof/>
            <w:webHidden/>
          </w:rPr>
          <w:fldChar w:fldCharType="begin"/>
        </w:r>
        <w:r w:rsidR="00887E60">
          <w:rPr>
            <w:noProof/>
            <w:webHidden/>
          </w:rPr>
          <w:instrText xml:space="preserve"> PAGEREF _Toc414522832 \h </w:instrText>
        </w:r>
        <w:r w:rsidR="00887E60">
          <w:rPr>
            <w:noProof/>
            <w:webHidden/>
          </w:rPr>
        </w:r>
        <w:r w:rsidR="00887E60">
          <w:rPr>
            <w:noProof/>
            <w:webHidden/>
          </w:rPr>
          <w:fldChar w:fldCharType="separate"/>
        </w:r>
        <w:r w:rsidR="00466B81">
          <w:rPr>
            <w:noProof/>
            <w:webHidden/>
          </w:rPr>
          <w:t>27</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3" w:history="1">
        <w:r w:rsidR="00887E60" w:rsidRPr="006E1F2E">
          <w:rPr>
            <w:rStyle w:val="Hyperlink"/>
            <w:noProof/>
          </w:rPr>
          <w:t>5.4</w:t>
        </w:r>
        <w:r w:rsidR="00887E60">
          <w:rPr>
            <w:rFonts w:asciiTheme="minorHAnsi" w:eastAsiaTheme="minorEastAsia" w:hAnsiTheme="minorHAnsi" w:cstheme="minorBidi"/>
            <w:noProof/>
            <w:lang w:val="en-NZ" w:eastAsia="en-NZ"/>
          </w:rPr>
          <w:tab/>
        </w:r>
        <w:r w:rsidR="00887E60" w:rsidRPr="006E1F2E">
          <w:rPr>
            <w:rStyle w:val="Hyperlink"/>
            <w:noProof/>
          </w:rPr>
          <w:t>How to report</w:t>
        </w:r>
        <w:r w:rsidR="00887E60">
          <w:rPr>
            <w:noProof/>
            <w:webHidden/>
          </w:rPr>
          <w:tab/>
        </w:r>
        <w:r w:rsidR="00887E60">
          <w:rPr>
            <w:noProof/>
            <w:webHidden/>
          </w:rPr>
          <w:fldChar w:fldCharType="begin"/>
        </w:r>
        <w:r w:rsidR="00887E60">
          <w:rPr>
            <w:noProof/>
            <w:webHidden/>
          </w:rPr>
          <w:instrText xml:space="preserve"> PAGEREF _Toc414522833 \h </w:instrText>
        </w:r>
        <w:r w:rsidR="00887E60">
          <w:rPr>
            <w:noProof/>
            <w:webHidden/>
          </w:rPr>
        </w:r>
        <w:r w:rsidR="00887E60">
          <w:rPr>
            <w:noProof/>
            <w:webHidden/>
          </w:rPr>
          <w:fldChar w:fldCharType="separate"/>
        </w:r>
        <w:r w:rsidR="00466B81">
          <w:rPr>
            <w:noProof/>
            <w:webHidden/>
          </w:rPr>
          <w:t>27</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834" w:history="1">
        <w:r w:rsidR="00887E60" w:rsidRPr="006E1F2E">
          <w:rPr>
            <w:rStyle w:val="Hyperlink"/>
            <w:noProof/>
          </w:rPr>
          <w:t>Section 6:</w:t>
        </w:r>
        <w:r w:rsidR="00887E60">
          <w:rPr>
            <w:rFonts w:asciiTheme="minorHAnsi" w:eastAsiaTheme="minorEastAsia" w:hAnsiTheme="minorHAnsi" w:cstheme="minorBidi"/>
            <w:noProof/>
            <w:lang w:val="en-NZ" w:eastAsia="en-NZ"/>
          </w:rPr>
          <w:tab/>
        </w:r>
        <w:r w:rsidR="00887E60" w:rsidRPr="006E1F2E">
          <w:rPr>
            <w:rStyle w:val="Hyperlink"/>
            <w:noProof/>
          </w:rPr>
          <w:t>Submission of Safety Monitoring Documents</w:t>
        </w:r>
        <w:r w:rsidR="00887E60">
          <w:rPr>
            <w:noProof/>
            <w:webHidden/>
          </w:rPr>
          <w:tab/>
        </w:r>
        <w:r w:rsidR="00887E60">
          <w:rPr>
            <w:noProof/>
            <w:webHidden/>
          </w:rPr>
          <w:fldChar w:fldCharType="begin"/>
        </w:r>
        <w:r w:rsidR="00887E60">
          <w:rPr>
            <w:noProof/>
            <w:webHidden/>
          </w:rPr>
          <w:instrText xml:space="preserve"> PAGEREF _Toc414522834 \h </w:instrText>
        </w:r>
        <w:r w:rsidR="00887E60">
          <w:rPr>
            <w:noProof/>
            <w:webHidden/>
          </w:rPr>
        </w:r>
        <w:r w:rsidR="00887E60">
          <w:rPr>
            <w:noProof/>
            <w:webHidden/>
          </w:rPr>
          <w:fldChar w:fldCharType="separate"/>
        </w:r>
        <w:r w:rsidR="00466B81">
          <w:rPr>
            <w:noProof/>
            <w:webHidden/>
          </w:rPr>
          <w:t>28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5" w:history="1">
        <w:r w:rsidR="00887E60" w:rsidRPr="006E1F2E">
          <w:rPr>
            <w:rStyle w:val="Hyperlink"/>
            <w:noProof/>
          </w:rPr>
          <w:t>6.1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_Toc414522835 \h </w:instrText>
        </w:r>
        <w:r w:rsidR="00887E60">
          <w:rPr>
            <w:noProof/>
            <w:webHidden/>
          </w:rPr>
        </w:r>
        <w:r w:rsidR="00887E60">
          <w:rPr>
            <w:noProof/>
            <w:webHidden/>
          </w:rPr>
          <w:fldChar w:fldCharType="separate"/>
        </w:r>
        <w:r w:rsidR="00466B81">
          <w:rPr>
            <w:noProof/>
            <w:webHidden/>
          </w:rPr>
          <w:t>28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6" w:history="1">
        <w:r w:rsidR="00887E60" w:rsidRPr="006E1F2E">
          <w:rPr>
            <w:rStyle w:val="Hyperlink"/>
            <w:noProof/>
          </w:rPr>
          <w:t>6.2</w:t>
        </w:r>
        <w:r w:rsidR="00887E60">
          <w:rPr>
            <w:rFonts w:asciiTheme="minorHAnsi" w:eastAsiaTheme="minorEastAsia" w:hAnsiTheme="minorHAnsi" w:cstheme="minorBidi"/>
            <w:noProof/>
            <w:lang w:val="en-NZ" w:eastAsia="en-NZ"/>
          </w:rPr>
          <w:tab/>
        </w:r>
        <w:r w:rsidR="00887E60" w:rsidRPr="006E1F2E">
          <w:rPr>
            <w:rStyle w:val="Hyperlink"/>
            <w:noProof/>
          </w:rPr>
          <w:t>Submission of PBRERs</w:t>
        </w:r>
        <w:r w:rsidR="00887E60">
          <w:rPr>
            <w:noProof/>
            <w:webHidden/>
          </w:rPr>
          <w:tab/>
        </w:r>
        <w:r w:rsidR="00887E60">
          <w:rPr>
            <w:noProof/>
            <w:webHidden/>
          </w:rPr>
          <w:fldChar w:fldCharType="begin"/>
        </w:r>
        <w:r w:rsidR="00887E60">
          <w:rPr>
            <w:noProof/>
            <w:webHidden/>
          </w:rPr>
          <w:instrText xml:space="preserve"> PAGEREF _Toc414522836 \h </w:instrText>
        </w:r>
        <w:r w:rsidR="00887E60">
          <w:rPr>
            <w:noProof/>
            <w:webHidden/>
          </w:rPr>
        </w:r>
        <w:r w:rsidR="00887E60">
          <w:rPr>
            <w:noProof/>
            <w:webHidden/>
          </w:rPr>
          <w:fldChar w:fldCharType="separate"/>
        </w:r>
        <w:r w:rsidR="00466B81">
          <w:rPr>
            <w:noProof/>
            <w:webHidden/>
          </w:rPr>
          <w:t>28</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7" w:history="1">
        <w:r w:rsidR="00887E60" w:rsidRPr="006E1F2E">
          <w:rPr>
            <w:rStyle w:val="Hyperlink"/>
            <w:noProof/>
          </w:rPr>
          <w:t>6.2.1</w:t>
        </w:r>
        <w:r w:rsidR="00887E60">
          <w:rPr>
            <w:rFonts w:asciiTheme="minorHAnsi" w:eastAsiaTheme="minorEastAsia" w:hAnsiTheme="minorHAnsi" w:cstheme="minorBidi"/>
            <w:noProof/>
            <w:lang w:val="en-NZ" w:eastAsia="en-NZ"/>
          </w:rPr>
          <w:tab/>
        </w:r>
        <w:r w:rsidR="00887E60" w:rsidRPr="006E1F2E">
          <w:rPr>
            <w:rStyle w:val="Hyperlink"/>
            <w:noProof/>
          </w:rPr>
          <w:t>Format of a PBRER</w:t>
        </w:r>
        <w:r w:rsidR="00887E60">
          <w:rPr>
            <w:noProof/>
            <w:webHidden/>
          </w:rPr>
          <w:tab/>
        </w:r>
        <w:r w:rsidR="00887E60">
          <w:rPr>
            <w:noProof/>
            <w:webHidden/>
          </w:rPr>
          <w:fldChar w:fldCharType="begin"/>
        </w:r>
        <w:r w:rsidR="00887E60">
          <w:rPr>
            <w:noProof/>
            <w:webHidden/>
          </w:rPr>
          <w:instrText xml:space="preserve"> PAGEREF _Toc414522837 \h </w:instrText>
        </w:r>
        <w:r w:rsidR="00887E60">
          <w:rPr>
            <w:noProof/>
            <w:webHidden/>
          </w:rPr>
        </w:r>
        <w:r w:rsidR="00887E60">
          <w:rPr>
            <w:noProof/>
            <w:webHidden/>
          </w:rPr>
          <w:fldChar w:fldCharType="separate"/>
        </w:r>
        <w:r w:rsidR="00466B81">
          <w:rPr>
            <w:noProof/>
            <w:webHidden/>
          </w:rPr>
          <w:t>29</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38" w:history="1">
        <w:r w:rsidR="00887E60" w:rsidRPr="006E1F2E">
          <w:rPr>
            <w:rStyle w:val="Hyperlink"/>
            <w:noProof/>
          </w:rPr>
          <w:t>6.3</w:t>
        </w:r>
        <w:r w:rsidR="00887E60">
          <w:rPr>
            <w:rFonts w:asciiTheme="minorHAnsi" w:eastAsiaTheme="minorEastAsia" w:hAnsiTheme="minorHAnsi" w:cstheme="minorBidi"/>
            <w:noProof/>
            <w:lang w:val="en-NZ" w:eastAsia="en-NZ"/>
          </w:rPr>
          <w:tab/>
        </w:r>
        <w:r w:rsidR="00887E60" w:rsidRPr="006E1F2E">
          <w:rPr>
            <w:rStyle w:val="Hyperlink"/>
            <w:noProof/>
          </w:rPr>
          <w:t>Risk Management Plans</w:t>
        </w:r>
        <w:r w:rsidR="00887E60">
          <w:rPr>
            <w:noProof/>
            <w:webHidden/>
          </w:rPr>
          <w:tab/>
        </w:r>
        <w:r w:rsidR="00887E60">
          <w:rPr>
            <w:noProof/>
            <w:webHidden/>
          </w:rPr>
          <w:fldChar w:fldCharType="begin"/>
        </w:r>
        <w:r w:rsidR="00887E60">
          <w:rPr>
            <w:noProof/>
            <w:webHidden/>
          </w:rPr>
          <w:instrText xml:space="preserve"> PAGEREF _Toc414522838 \h </w:instrText>
        </w:r>
        <w:r w:rsidR="00887E60">
          <w:rPr>
            <w:noProof/>
            <w:webHidden/>
          </w:rPr>
        </w:r>
        <w:r w:rsidR="00887E60">
          <w:rPr>
            <w:noProof/>
            <w:webHidden/>
          </w:rPr>
          <w:fldChar w:fldCharType="separate"/>
        </w:r>
        <w:r w:rsidR="00466B81">
          <w:rPr>
            <w:noProof/>
            <w:webHidden/>
          </w:rPr>
          <w:t>29</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839" w:history="1">
        <w:r w:rsidR="00887E60" w:rsidRPr="006E1F2E">
          <w:rPr>
            <w:rStyle w:val="Hyperlink"/>
            <w:noProof/>
          </w:rPr>
          <w:t>Section 7:</w:t>
        </w:r>
        <w:r w:rsidR="00887E60">
          <w:rPr>
            <w:rFonts w:asciiTheme="minorHAnsi" w:eastAsiaTheme="minorEastAsia" w:hAnsiTheme="minorHAnsi" w:cstheme="minorBidi"/>
            <w:noProof/>
            <w:lang w:val="en-NZ" w:eastAsia="en-NZ"/>
          </w:rPr>
          <w:tab/>
        </w:r>
        <w:r w:rsidR="00887E60" w:rsidRPr="006E1F2E">
          <w:rPr>
            <w:rStyle w:val="Hyperlink"/>
            <w:noProof/>
          </w:rPr>
          <w:t>Safety Communications</w:t>
        </w:r>
        <w:r w:rsidR="00887E60">
          <w:rPr>
            <w:noProof/>
            <w:webHidden/>
          </w:rPr>
          <w:tab/>
        </w:r>
        <w:r w:rsidR="00887E60">
          <w:rPr>
            <w:noProof/>
            <w:webHidden/>
          </w:rPr>
          <w:fldChar w:fldCharType="begin"/>
        </w:r>
        <w:r w:rsidR="00887E60">
          <w:rPr>
            <w:noProof/>
            <w:webHidden/>
          </w:rPr>
          <w:instrText xml:space="preserve"> PAGEREF _Toc414522839 \h </w:instrText>
        </w:r>
        <w:r w:rsidR="00887E60">
          <w:rPr>
            <w:noProof/>
            <w:webHidden/>
          </w:rPr>
        </w:r>
        <w:r w:rsidR="00887E60">
          <w:rPr>
            <w:noProof/>
            <w:webHidden/>
          </w:rPr>
          <w:fldChar w:fldCharType="separate"/>
        </w:r>
        <w:r w:rsidR="00466B81">
          <w:rPr>
            <w:noProof/>
            <w:webHidden/>
          </w:rPr>
          <w:t>30</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40" w:history="1">
        <w:r w:rsidR="00887E60" w:rsidRPr="006E1F2E">
          <w:rPr>
            <w:rStyle w:val="Hyperlink"/>
            <w:noProof/>
          </w:rPr>
          <w:t>7.1</w:t>
        </w:r>
        <w:r w:rsidR="00887E60">
          <w:rPr>
            <w:rFonts w:asciiTheme="minorHAnsi" w:eastAsiaTheme="minorEastAsia" w:hAnsiTheme="minorHAnsi" w:cstheme="minorBidi"/>
            <w:noProof/>
            <w:lang w:val="en-NZ" w:eastAsia="en-NZ"/>
          </w:rPr>
          <w:tab/>
        </w:r>
        <w:r w:rsidR="00887E60" w:rsidRPr="006E1F2E">
          <w:rPr>
            <w:rStyle w:val="Hyperlink"/>
            <w:noProof/>
          </w:rPr>
          <w:t>Introduction</w:t>
        </w:r>
        <w:r w:rsidR="00887E60">
          <w:rPr>
            <w:noProof/>
            <w:webHidden/>
          </w:rPr>
          <w:tab/>
        </w:r>
        <w:r w:rsidR="00887E60">
          <w:rPr>
            <w:noProof/>
            <w:webHidden/>
          </w:rPr>
          <w:fldChar w:fldCharType="begin"/>
        </w:r>
        <w:r w:rsidR="00887E60">
          <w:rPr>
            <w:noProof/>
            <w:webHidden/>
          </w:rPr>
          <w:instrText xml:space="preserve"> PAGEREF _Toc414522840 \h </w:instrText>
        </w:r>
        <w:r w:rsidR="00887E60">
          <w:rPr>
            <w:noProof/>
            <w:webHidden/>
          </w:rPr>
        </w:r>
        <w:r w:rsidR="00887E60">
          <w:rPr>
            <w:noProof/>
            <w:webHidden/>
          </w:rPr>
          <w:fldChar w:fldCharType="separate"/>
        </w:r>
        <w:r w:rsidR="00466B81">
          <w:rPr>
            <w:noProof/>
            <w:webHidden/>
          </w:rPr>
          <w:t>30</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41" w:history="1">
        <w:r w:rsidR="00887E60" w:rsidRPr="006E1F2E">
          <w:rPr>
            <w:rStyle w:val="Hyperlink"/>
            <w:noProof/>
          </w:rPr>
          <w:t>7.2</w:t>
        </w:r>
        <w:r w:rsidR="00887E60">
          <w:rPr>
            <w:rFonts w:asciiTheme="minorHAnsi" w:eastAsiaTheme="minorEastAsia" w:hAnsiTheme="minorHAnsi" w:cstheme="minorBidi"/>
            <w:noProof/>
            <w:lang w:val="en-NZ" w:eastAsia="en-NZ"/>
          </w:rPr>
          <w:tab/>
        </w:r>
        <w:r w:rsidR="00887E60" w:rsidRPr="006E1F2E">
          <w:rPr>
            <w:rStyle w:val="Hyperlink"/>
            <w:noProof/>
          </w:rPr>
          <w:t>Dear Healthcare Professional letter</w:t>
        </w:r>
        <w:r w:rsidR="00887E60">
          <w:rPr>
            <w:noProof/>
            <w:webHidden/>
          </w:rPr>
          <w:tab/>
        </w:r>
        <w:r w:rsidR="00887E60">
          <w:rPr>
            <w:noProof/>
            <w:webHidden/>
          </w:rPr>
          <w:fldChar w:fldCharType="begin"/>
        </w:r>
        <w:r w:rsidR="00887E60">
          <w:rPr>
            <w:noProof/>
            <w:webHidden/>
          </w:rPr>
          <w:instrText xml:space="preserve"> PAGEREF _Toc414522841 \h </w:instrText>
        </w:r>
        <w:r w:rsidR="00887E60">
          <w:rPr>
            <w:noProof/>
            <w:webHidden/>
          </w:rPr>
        </w:r>
        <w:r w:rsidR="00887E60">
          <w:rPr>
            <w:noProof/>
            <w:webHidden/>
          </w:rPr>
          <w:fldChar w:fldCharType="separate"/>
        </w:r>
        <w:r w:rsidR="00466B81">
          <w:rPr>
            <w:noProof/>
            <w:webHidden/>
          </w:rPr>
          <w:t>30</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42" w:history="1">
        <w:r w:rsidR="00887E60" w:rsidRPr="006E1F2E">
          <w:rPr>
            <w:rStyle w:val="Hyperlink"/>
            <w:noProof/>
          </w:rPr>
          <w:t>7.3</w:t>
        </w:r>
        <w:r w:rsidR="00887E60">
          <w:rPr>
            <w:rFonts w:asciiTheme="minorHAnsi" w:eastAsiaTheme="minorEastAsia" w:hAnsiTheme="minorHAnsi" w:cstheme="minorBidi"/>
            <w:noProof/>
            <w:lang w:val="en-NZ" w:eastAsia="en-NZ"/>
          </w:rPr>
          <w:tab/>
        </w:r>
        <w:r w:rsidR="00887E60" w:rsidRPr="006E1F2E">
          <w:rPr>
            <w:rStyle w:val="Hyperlink"/>
            <w:noProof/>
          </w:rPr>
          <w:t>Other safety communications</w:t>
        </w:r>
        <w:r w:rsidR="00887E60">
          <w:rPr>
            <w:noProof/>
            <w:webHidden/>
          </w:rPr>
          <w:tab/>
        </w:r>
        <w:r w:rsidR="00887E60">
          <w:rPr>
            <w:noProof/>
            <w:webHidden/>
          </w:rPr>
          <w:fldChar w:fldCharType="begin"/>
        </w:r>
        <w:r w:rsidR="00887E60">
          <w:rPr>
            <w:noProof/>
            <w:webHidden/>
          </w:rPr>
          <w:instrText xml:space="preserve"> PAGEREF _Toc414522842 \h </w:instrText>
        </w:r>
        <w:r w:rsidR="00887E60">
          <w:rPr>
            <w:noProof/>
            <w:webHidden/>
          </w:rPr>
        </w:r>
        <w:r w:rsidR="00887E60">
          <w:rPr>
            <w:noProof/>
            <w:webHidden/>
          </w:rPr>
          <w:fldChar w:fldCharType="separate"/>
        </w:r>
        <w:r w:rsidR="00466B81">
          <w:rPr>
            <w:noProof/>
            <w:webHidden/>
          </w:rPr>
          <w:t>31</w:t>
        </w:r>
        <w:r w:rsidR="00887E60">
          <w:rPr>
            <w:noProof/>
            <w:webHidden/>
          </w:rPr>
          <w:fldChar w:fldCharType="end"/>
        </w:r>
      </w:hyperlink>
    </w:p>
    <w:p w:rsidR="00887E60" w:rsidRDefault="001167BD">
      <w:pPr>
        <w:pStyle w:val="TOC2"/>
        <w:rPr>
          <w:rFonts w:asciiTheme="minorHAnsi" w:eastAsiaTheme="minorEastAsia" w:hAnsiTheme="minorHAnsi" w:cstheme="minorBidi"/>
          <w:noProof/>
          <w:lang w:val="en-NZ" w:eastAsia="en-NZ"/>
        </w:rPr>
      </w:pPr>
      <w:hyperlink w:anchor="_Toc414522843" w:history="1">
        <w:r w:rsidR="00887E60" w:rsidRPr="006E1F2E">
          <w:rPr>
            <w:rStyle w:val="Hyperlink"/>
            <w:noProof/>
          </w:rPr>
          <w:t>7.4</w:t>
        </w:r>
        <w:r w:rsidR="00887E60">
          <w:rPr>
            <w:rFonts w:asciiTheme="minorHAnsi" w:eastAsiaTheme="minorEastAsia" w:hAnsiTheme="minorHAnsi" w:cstheme="minorBidi"/>
            <w:noProof/>
            <w:lang w:val="en-NZ" w:eastAsia="en-NZ"/>
          </w:rPr>
          <w:tab/>
        </w:r>
        <w:r w:rsidR="00887E60" w:rsidRPr="006E1F2E">
          <w:rPr>
            <w:rStyle w:val="Hyperlink"/>
            <w:noProof/>
          </w:rPr>
          <w:t>Other educational materials</w:t>
        </w:r>
        <w:r w:rsidR="00887E60">
          <w:rPr>
            <w:noProof/>
            <w:webHidden/>
          </w:rPr>
          <w:tab/>
        </w:r>
        <w:r w:rsidR="00887E60">
          <w:rPr>
            <w:noProof/>
            <w:webHidden/>
          </w:rPr>
          <w:fldChar w:fldCharType="begin"/>
        </w:r>
        <w:r w:rsidR="00887E60">
          <w:rPr>
            <w:noProof/>
            <w:webHidden/>
          </w:rPr>
          <w:instrText xml:space="preserve"> PAGEREF _Toc414522843 \h </w:instrText>
        </w:r>
        <w:r w:rsidR="00887E60">
          <w:rPr>
            <w:noProof/>
            <w:webHidden/>
          </w:rPr>
        </w:r>
        <w:r w:rsidR="00887E60">
          <w:rPr>
            <w:noProof/>
            <w:webHidden/>
          </w:rPr>
          <w:fldChar w:fldCharType="separate"/>
        </w:r>
        <w:r w:rsidR="00466B81">
          <w:rPr>
            <w:noProof/>
            <w:webHidden/>
          </w:rPr>
          <w:t>31</w:t>
        </w:r>
        <w:r w:rsidR="00887E60">
          <w:rPr>
            <w:noProof/>
            <w:webHidden/>
          </w:rPr>
          <w:fldChar w:fldCharType="end"/>
        </w:r>
      </w:hyperlink>
    </w:p>
    <w:p w:rsidR="00887E60" w:rsidRDefault="001167BD">
      <w:pPr>
        <w:pStyle w:val="TOC1"/>
        <w:rPr>
          <w:rFonts w:asciiTheme="minorHAnsi" w:eastAsiaTheme="minorEastAsia" w:hAnsiTheme="minorHAnsi" w:cstheme="minorBidi"/>
          <w:noProof/>
          <w:lang w:val="en-NZ" w:eastAsia="en-NZ"/>
        </w:rPr>
      </w:pPr>
      <w:hyperlink w:anchor="_Toc414522844" w:history="1">
        <w:r w:rsidR="00887E60" w:rsidRPr="006E1F2E">
          <w:rPr>
            <w:rStyle w:val="Hyperlink"/>
            <w:noProof/>
          </w:rPr>
          <w:t>Section 8:</w:t>
        </w:r>
        <w:r w:rsidR="00887E60">
          <w:rPr>
            <w:rFonts w:asciiTheme="minorHAnsi" w:eastAsiaTheme="minorEastAsia" w:hAnsiTheme="minorHAnsi" w:cstheme="minorBidi"/>
            <w:noProof/>
            <w:lang w:val="en-NZ" w:eastAsia="en-NZ"/>
          </w:rPr>
          <w:tab/>
        </w:r>
        <w:r w:rsidR="00887E60" w:rsidRPr="006E1F2E">
          <w:rPr>
            <w:rStyle w:val="Hyperlink"/>
            <w:noProof/>
          </w:rPr>
          <w:t>Glossary</w:t>
        </w:r>
        <w:r w:rsidR="00887E60">
          <w:rPr>
            <w:noProof/>
            <w:webHidden/>
          </w:rPr>
          <w:tab/>
        </w:r>
        <w:r w:rsidR="00887E60">
          <w:rPr>
            <w:noProof/>
            <w:webHidden/>
          </w:rPr>
          <w:fldChar w:fldCharType="begin"/>
        </w:r>
        <w:r w:rsidR="00887E60">
          <w:rPr>
            <w:noProof/>
            <w:webHidden/>
          </w:rPr>
          <w:instrText xml:space="preserve"> PAGEREF _Toc414522844 \h </w:instrText>
        </w:r>
        <w:r w:rsidR="00887E60">
          <w:rPr>
            <w:noProof/>
            <w:webHidden/>
          </w:rPr>
        </w:r>
        <w:r w:rsidR="00887E60">
          <w:rPr>
            <w:noProof/>
            <w:webHidden/>
          </w:rPr>
          <w:fldChar w:fldCharType="separate"/>
        </w:r>
        <w:r w:rsidR="00466B81">
          <w:rPr>
            <w:noProof/>
            <w:webHidden/>
          </w:rPr>
          <w:t>32</w:t>
        </w:r>
        <w:r w:rsidR="00887E60">
          <w:rPr>
            <w:noProof/>
            <w:webHidden/>
          </w:rPr>
          <w:fldChar w:fldCharType="end"/>
        </w:r>
      </w:hyperlink>
    </w:p>
    <w:p w:rsidR="00035167" w:rsidRPr="001B42F9" w:rsidRDefault="00035167" w:rsidP="00035167">
      <w:pPr>
        <w:tabs>
          <w:tab w:val="left" w:pos="1134"/>
        </w:tabs>
        <w:sectPr w:rsidR="00035167" w:rsidRPr="001B42F9" w:rsidSect="009C7E35">
          <w:headerReference w:type="even" r:id="rId12"/>
          <w:headerReference w:type="default" r:id="rId13"/>
          <w:footerReference w:type="even" r:id="rId14"/>
          <w:footerReference w:type="default" r:id="rId15"/>
          <w:headerReference w:type="first" r:id="rId16"/>
          <w:footerReference w:type="first" r:id="rId17"/>
          <w:pgSz w:w="11906" w:h="16838" w:code="9"/>
          <w:pgMar w:top="1440" w:right="1133" w:bottom="1440" w:left="1797" w:header="709" w:footer="709" w:gutter="0"/>
          <w:cols w:space="708"/>
          <w:titlePg/>
          <w:docGrid w:linePitch="360"/>
        </w:sectPr>
      </w:pPr>
      <w:r>
        <w:rPr>
          <w:b/>
          <w:bCs/>
          <w:noProof/>
        </w:rPr>
        <w:fldChar w:fldCharType="end"/>
      </w:r>
    </w:p>
    <w:p w:rsidR="007413FC" w:rsidRDefault="007413FC" w:rsidP="00035167">
      <w:pPr>
        <w:pStyle w:val="NoHeading1"/>
        <w:spacing w:after="0" w:line="280" w:lineRule="atLeast"/>
      </w:pPr>
      <w:bookmarkStart w:id="47" w:name="_Toc414522771"/>
      <w:r>
        <w:t>Section 1:</w:t>
      </w:r>
      <w:r>
        <w:tab/>
        <w:t>Legislation</w:t>
      </w:r>
      <w:bookmarkEnd w:id="36"/>
      <w:bookmarkEnd w:id="47"/>
    </w:p>
    <w:p w:rsidR="007413FC" w:rsidRDefault="007413FC" w:rsidP="007413FC"/>
    <w:p w:rsidR="007413FC" w:rsidRDefault="007413FC" w:rsidP="007413FC"/>
    <w:p w:rsidR="007413FC" w:rsidRDefault="007413FC" w:rsidP="00CE2270">
      <w:pPr>
        <w:pBdr>
          <w:top w:val="single" w:sz="4" w:space="0" w:color="auto"/>
          <w:left w:val="single" w:sz="4" w:space="4" w:color="auto"/>
          <w:bottom w:val="single" w:sz="4" w:space="0" w:color="auto"/>
          <w:right w:val="single" w:sz="4" w:space="15" w:color="auto"/>
        </w:pBdr>
        <w:ind w:right="340"/>
        <w:contextualSpacing/>
        <w:rPr>
          <w:rStyle w:val="NormalBoldTeal"/>
        </w:rPr>
      </w:pPr>
    </w:p>
    <w:p w:rsidR="00D90839" w:rsidRDefault="00557EA4" w:rsidP="007F0424">
      <w:pPr>
        <w:pBdr>
          <w:top w:val="single" w:sz="4" w:space="0" w:color="auto"/>
          <w:left w:val="single" w:sz="4" w:space="4" w:color="auto"/>
          <w:bottom w:val="single" w:sz="4" w:space="0" w:color="auto"/>
          <w:right w:val="single" w:sz="4" w:space="15" w:color="auto"/>
        </w:pBdr>
        <w:spacing w:after="120"/>
        <w:ind w:right="340"/>
        <w:rPr>
          <w:rStyle w:val="NormalBoldTeal"/>
          <w:sz w:val="24"/>
        </w:rPr>
      </w:pPr>
      <w:r w:rsidRPr="00557EA4">
        <w:rPr>
          <w:rStyle w:val="NormalBoldTeal"/>
          <w:sz w:val="24"/>
        </w:rPr>
        <w:t>Section summary</w:t>
      </w:r>
      <w:bookmarkStart w:id="48" w:name="_Toc523816714"/>
      <w:bookmarkEnd w:id="37"/>
    </w:p>
    <w:p w:rsidR="0061369D" w:rsidRDefault="00557EA4" w:rsidP="007F0424">
      <w:pPr>
        <w:pBdr>
          <w:top w:val="single" w:sz="4" w:space="0" w:color="auto"/>
          <w:left w:val="single" w:sz="4" w:space="4" w:color="auto"/>
          <w:bottom w:val="single" w:sz="4" w:space="0" w:color="auto"/>
          <w:right w:val="single" w:sz="4" w:space="15" w:color="auto"/>
        </w:pBdr>
        <w:spacing w:before="120"/>
        <w:ind w:right="340"/>
        <w:rPr>
          <w:rStyle w:val="SummaryText"/>
          <w:sz w:val="22"/>
          <w:szCs w:val="22"/>
        </w:rPr>
      </w:pPr>
      <w:r w:rsidRPr="00CD6EF8">
        <w:rPr>
          <w:rStyle w:val="SummaryText"/>
          <w:sz w:val="22"/>
          <w:szCs w:val="22"/>
        </w:rPr>
        <w:t>Th</w:t>
      </w:r>
      <w:r w:rsidR="00D90839" w:rsidRPr="00CD6EF8">
        <w:rPr>
          <w:rStyle w:val="SummaryText"/>
          <w:sz w:val="22"/>
          <w:szCs w:val="22"/>
        </w:rPr>
        <w:t>is section</w:t>
      </w:r>
      <w:r w:rsidR="008B6868">
        <w:rPr>
          <w:rStyle w:val="SummaryText"/>
          <w:sz w:val="22"/>
          <w:szCs w:val="22"/>
        </w:rPr>
        <w:t xml:space="preserve"> </w:t>
      </w:r>
      <w:r w:rsidRPr="00CD6EF8">
        <w:rPr>
          <w:rStyle w:val="SummaryText"/>
          <w:sz w:val="22"/>
          <w:szCs w:val="22"/>
        </w:rPr>
        <w:t xml:space="preserve">identifies the </w:t>
      </w:r>
      <w:r w:rsidR="00D90839" w:rsidRPr="00CD6EF8">
        <w:rPr>
          <w:rStyle w:val="SummaryText"/>
          <w:sz w:val="22"/>
          <w:szCs w:val="22"/>
        </w:rPr>
        <w:t>legislation</w:t>
      </w:r>
      <w:r w:rsidR="00EB4F6C" w:rsidRPr="00CD6EF8">
        <w:rPr>
          <w:rStyle w:val="SummaryText"/>
          <w:sz w:val="22"/>
          <w:szCs w:val="22"/>
        </w:rPr>
        <w:t xml:space="preserve"> and </w:t>
      </w:r>
      <w:r w:rsidR="00172D16">
        <w:rPr>
          <w:rStyle w:val="SummaryText"/>
          <w:sz w:val="22"/>
          <w:szCs w:val="22"/>
        </w:rPr>
        <w:t>guidance documents</w:t>
      </w:r>
      <w:r w:rsidR="00D90839" w:rsidRPr="00CD6EF8">
        <w:rPr>
          <w:rStyle w:val="SummaryText"/>
          <w:sz w:val="22"/>
          <w:szCs w:val="22"/>
        </w:rPr>
        <w:t xml:space="preserve"> to be read in conjunction with this part of the regulatory guidelines.</w:t>
      </w:r>
      <w:bookmarkEnd w:id="48"/>
    </w:p>
    <w:p w:rsidR="007F0424" w:rsidRPr="007F0424" w:rsidRDefault="007F0424" w:rsidP="007F0424">
      <w:pPr>
        <w:pBdr>
          <w:top w:val="single" w:sz="4" w:space="0" w:color="auto"/>
          <w:left w:val="single" w:sz="4" w:space="4" w:color="auto"/>
          <w:bottom w:val="single" w:sz="4" w:space="0" w:color="auto"/>
          <w:right w:val="single" w:sz="4" w:space="15" w:color="auto"/>
        </w:pBdr>
        <w:ind w:right="340"/>
        <w:contextualSpacing/>
        <w:rPr>
          <w:rStyle w:val="SummaryText"/>
          <w:i w:val="0"/>
          <w:sz w:val="22"/>
          <w:szCs w:val="22"/>
        </w:rPr>
      </w:pPr>
    </w:p>
    <w:p w:rsidR="00557EA4" w:rsidRPr="0061369D" w:rsidRDefault="00557EA4" w:rsidP="008B6868">
      <w:pPr>
        <w:spacing w:line="260" w:lineRule="exact"/>
        <w:ind w:right="340"/>
        <w:rPr>
          <w:rStyle w:val="NormalBoldTeal"/>
          <w:b w:val="0"/>
          <w:color w:val="auto"/>
        </w:rPr>
      </w:pPr>
    </w:p>
    <w:p w:rsidR="00DD2A02" w:rsidRPr="003C48AD" w:rsidRDefault="002B1FDB" w:rsidP="008B6868">
      <w:pPr>
        <w:pStyle w:val="NoHeading2"/>
        <w:keepNext/>
        <w:spacing w:before="120"/>
        <w:ind w:right="340"/>
      </w:pPr>
      <w:bookmarkStart w:id="49" w:name="_Toc414346383"/>
      <w:bookmarkStart w:id="50" w:name="_Toc414522772"/>
      <w:r>
        <w:t>1.1</w:t>
      </w:r>
      <w:r>
        <w:tab/>
      </w:r>
      <w:r w:rsidR="00EB4F6C">
        <w:t>Legislation</w:t>
      </w:r>
      <w:r w:rsidR="00854DEF">
        <w:t xml:space="preserve"> relating to </w:t>
      </w:r>
      <w:proofErr w:type="spellStart"/>
      <w:r w:rsidR="00C36198">
        <w:t>pharmacovigilance</w:t>
      </w:r>
      <w:bookmarkEnd w:id="49"/>
      <w:bookmarkEnd w:id="50"/>
      <w:proofErr w:type="spellEnd"/>
    </w:p>
    <w:p w:rsidR="009E795D" w:rsidRDefault="009E795D" w:rsidP="009E795D">
      <w:pPr>
        <w:spacing w:line="280" w:lineRule="atLeast"/>
        <w:ind w:right="340"/>
        <w:rPr>
          <w:rStyle w:val="SummaryText"/>
          <w:i w:val="0"/>
          <w:sz w:val="22"/>
          <w:szCs w:val="22"/>
        </w:rPr>
      </w:pPr>
    </w:p>
    <w:p w:rsidR="00EB4F6C" w:rsidRDefault="00EB4F6C" w:rsidP="009E795D">
      <w:pPr>
        <w:spacing w:line="280" w:lineRule="atLeast"/>
        <w:ind w:right="340"/>
        <w:rPr>
          <w:rStyle w:val="SummaryText"/>
          <w:i w:val="0"/>
          <w:sz w:val="22"/>
          <w:szCs w:val="22"/>
        </w:rPr>
      </w:pPr>
      <w:r w:rsidRPr="00EB4F6C">
        <w:rPr>
          <w:rStyle w:val="SummaryText"/>
          <w:i w:val="0"/>
          <w:sz w:val="22"/>
          <w:szCs w:val="22"/>
        </w:rPr>
        <w:t>The following legislation should be read in conjunction with this part of the guideline:</w:t>
      </w:r>
    </w:p>
    <w:p w:rsidR="009E795D" w:rsidRDefault="009E795D" w:rsidP="009E795D">
      <w:pPr>
        <w:spacing w:line="280" w:lineRule="atLeast"/>
        <w:ind w:right="340"/>
        <w:rPr>
          <w:rStyle w:val="SummaryText"/>
          <w:i w:val="0"/>
          <w:sz w:val="22"/>
          <w:szCs w:val="22"/>
        </w:rPr>
      </w:pPr>
    </w:p>
    <w:p w:rsidR="00EB4F6C" w:rsidRPr="00CE2270" w:rsidRDefault="001167BD" w:rsidP="009E795D">
      <w:pPr>
        <w:pStyle w:val="ListBullet"/>
        <w:spacing w:before="120" w:after="240"/>
        <w:ind w:right="340"/>
        <w:rPr>
          <w:rStyle w:val="Hyperlink"/>
          <w:bCs/>
          <w:sz w:val="22"/>
        </w:rPr>
      </w:pPr>
      <w:hyperlink r:id="rId18" w:history="1">
        <w:r w:rsidR="00B4162A" w:rsidRPr="00CE2270">
          <w:rPr>
            <w:rStyle w:val="Hyperlink"/>
            <w:bCs/>
            <w:sz w:val="22"/>
          </w:rPr>
          <w:t>Medicines Act 1981</w:t>
        </w:r>
      </w:hyperlink>
      <w:r w:rsidR="00DB6CA0">
        <w:rPr>
          <w:rStyle w:val="Hyperlink"/>
          <w:bCs/>
          <w:sz w:val="22"/>
        </w:rPr>
        <w:t xml:space="preserve"> (the Act)</w:t>
      </w:r>
      <w:r w:rsidR="00B4162A" w:rsidRPr="00CE2270">
        <w:rPr>
          <w:rStyle w:val="Hyperlink"/>
          <w:bCs/>
          <w:sz w:val="22"/>
        </w:rPr>
        <w:t>:</w:t>
      </w:r>
    </w:p>
    <w:bookmarkStart w:id="51" w:name="_Toc523816720"/>
    <w:p w:rsidR="00871072" w:rsidRDefault="00871072" w:rsidP="009E795D">
      <w:pPr>
        <w:pStyle w:val="ListBullet"/>
        <w:numPr>
          <w:ilvl w:val="0"/>
          <w:numId w:val="0"/>
        </w:numPr>
        <w:tabs>
          <w:tab w:val="clear" w:pos="426"/>
          <w:tab w:val="left" w:pos="1134"/>
          <w:tab w:val="left" w:pos="2694"/>
        </w:tabs>
        <w:spacing w:before="0" w:after="0" w:line="240" w:lineRule="auto"/>
        <w:ind w:left="2693" w:right="340" w:hanging="1559"/>
        <w:rPr>
          <w:rStyle w:val="SummaryText"/>
          <w:rFonts w:cs="Arial"/>
          <w:i w:val="0"/>
          <w:sz w:val="22"/>
          <w:szCs w:val="22"/>
        </w:rPr>
      </w:pPr>
      <w:r>
        <w:rPr>
          <w:rStyle w:val="SummaryText"/>
          <w:rFonts w:cs="Arial"/>
          <w:i w:val="0"/>
          <w:sz w:val="22"/>
          <w:szCs w:val="22"/>
        </w:rPr>
        <w:fldChar w:fldCharType="begin"/>
      </w:r>
      <w:r>
        <w:rPr>
          <w:rStyle w:val="SummaryText"/>
          <w:rFonts w:cs="Arial"/>
          <w:i w:val="0"/>
          <w:sz w:val="22"/>
          <w:szCs w:val="22"/>
        </w:rPr>
        <w:instrText xml:space="preserve"> HYPERLINK "http://www.legislation.govt.nz/act/public/1981/0118/latest/DLM55443.html" </w:instrText>
      </w:r>
      <w:r>
        <w:rPr>
          <w:rStyle w:val="SummaryText"/>
          <w:rFonts w:cs="Arial"/>
          <w:i w:val="0"/>
          <w:sz w:val="22"/>
          <w:szCs w:val="22"/>
        </w:rPr>
        <w:fldChar w:fldCharType="separate"/>
      </w:r>
      <w:r w:rsidRPr="00871072">
        <w:rPr>
          <w:rStyle w:val="Hyperlink"/>
          <w:rFonts w:cs="Arial"/>
          <w:sz w:val="22"/>
          <w:szCs w:val="22"/>
        </w:rPr>
        <w:t>Section 35</w:t>
      </w:r>
      <w:r>
        <w:rPr>
          <w:rStyle w:val="SummaryText"/>
          <w:rFonts w:cs="Arial"/>
          <w:i w:val="0"/>
          <w:sz w:val="22"/>
          <w:szCs w:val="22"/>
        </w:rPr>
        <w:fldChar w:fldCharType="end"/>
      </w:r>
      <w:r>
        <w:rPr>
          <w:rStyle w:val="SummaryText"/>
          <w:rFonts w:cs="Arial"/>
          <w:i w:val="0"/>
          <w:sz w:val="22"/>
          <w:szCs w:val="22"/>
        </w:rPr>
        <w:tab/>
        <w:t>Revocation and suspension of consents</w:t>
      </w:r>
    </w:p>
    <w:p w:rsidR="00871072" w:rsidRDefault="00871072" w:rsidP="009E795D">
      <w:pPr>
        <w:pStyle w:val="ListBullet"/>
        <w:numPr>
          <w:ilvl w:val="0"/>
          <w:numId w:val="0"/>
        </w:numPr>
        <w:tabs>
          <w:tab w:val="clear" w:pos="426"/>
          <w:tab w:val="left" w:pos="1134"/>
          <w:tab w:val="left" w:pos="2694"/>
        </w:tabs>
        <w:spacing w:before="0" w:after="0" w:line="240" w:lineRule="auto"/>
        <w:ind w:left="2693" w:right="340" w:hanging="1559"/>
        <w:rPr>
          <w:rStyle w:val="SummaryText"/>
          <w:rFonts w:cs="Arial"/>
          <w:i w:val="0"/>
          <w:sz w:val="22"/>
          <w:szCs w:val="22"/>
        </w:rPr>
      </w:pPr>
    </w:p>
    <w:p w:rsidR="00B4162A" w:rsidRPr="00B4162A" w:rsidRDefault="001167BD" w:rsidP="009E795D">
      <w:pPr>
        <w:pStyle w:val="ListBullet"/>
        <w:numPr>
          <w:ilvl w:val="0"/>
          <w:numId w:val="0"/>
        </w:numPr>
        <w:tabs>
          <w:tab w:val="clear" w:pos="426"/>
          <w:tab w:val="left" w:pos="1134"/>
          <w:tab w:val="left" w:pos="2694"/>
        </w:tabs>
        <w:spacing w:before="0" w:after="0" w:line="240" w:lineRule="auto"/>
        <w:ind w:left="2693" w:right="340" w:hanging="1559"/>
        <w:rPr>
          <w:rStyle w:val="SummaryText"/>
          <w:rFonts w:cs="Arial"/>
          <w:sz w:val="22"/>
          <w:szCs w:val="22"/>
        </w:rPr>
      </w:pPr>
      <w:hyperlink r:id="rId19" w:history="1">
        <w:r w:rsidR="00B4162A" w:rsidRPr="00B4162A">
          <w:rPr>
            <w:rStyle w:val="Hyperlink"/>
            <w:rFonts w:cs="Arial"/>
            <w:sz w:val="22"/>
            <w:szCs w:val="22"/>
          </w:rPr>
          <w:t>Section 36</w:t>
        </w:r>
      </w:hyperlink>
      <w:r w:rsidR="00B4162A">
        <w:rPr>
          <w:rStyle w:val="SummaryText"/>
          <w:rFonts w:cs="Arial"/>
          <w:i w:val="0"/>
          <w:sz w:val="22"/>
          <w:szCs w:val="22"/>
        </w:rPr>
        <w:tab/>
        <w:t>Control of established medicines</w:t>
      </w:r>
    </w:p>
    <w:p w:rsidR="00B4162A" w:rsidRPr="00B4162A" w:rsidRDefault="00B4162A" w:rsidP="009E795D">
      <w:pPr>
        <w:pStyle w:val="ListBullet"/>
        <w:numPr>
          <w:ilvl w:val="0"/>
          <w:numId w:val="0"/>
        </w:numPr>
        <w:tabs>
          <w:tab w:val="left" w:pos="2694"/>
        </w:tabs>
        <w:spacing w:before="0" w:after="0" w:line="240" w:lineRule="auto"/>
        <w:ind w:left="2693" w:right="340" w:hanging="1559"/>
        <w:rPr>
          <w:rStyle w:val="SummaryText"/>
          <w:rFonts w:cs="Arial"/>
          <w:i w:val="0"/>
          <w:sz w:val="22"/>
          <w:szCs w:val="22"/>
        </w:rPr>
      </w:pPr>
      <w:r>
        <w:rPr>
          <w:rStyle w:val="SummaryText"/>
          <w:rFonts w:cs="Arial"/>
          <w:i w:val="0"/>
          <w:sz w:val="22"/>
          <w:szCs w:val="22"/>
        </w:rPr>
        <w:tab/>
      </w:r>
    </w:p>
    <w:p w:rsidR="00197776" w:rsidRDefault="001167BD" w:rsidP="009E795D">
      <w:pPr>
        <w:pStyle w:val="ListBullet"/>
        <w:numPr>
          <w:ilvl w:val="0"/>
          <w:numId w:val="0"/>
        </w:numPr>
        <w:tabs>
          <w:tab w:val="clear" w:pos="426"/>
          <w:tab w:val="left" w:pos="1134"/>
          <w:tab w:val="left" w:pos="2694"/>
          <w:tab w:val="left" w:pos="2835"/>
        </w:tabs>
        <w:spacing w:before="0" w:after="0" w:line="240" w:lineRule="auto"/>
        <w:ind w:left="2693" w:right="340" w:hanging="1559"/>
        <w:rPr>
          <w:rStyle w:val="SummaryText"/>
          <w:rFonts w:cs="Arial"/>
          <w:i w:val="0"/>
          <w:sz w:val="22"/>
          <w:szCs w:val="22"/>
        </w:rPr>
      </w:pPr>
      <w:hyperlink r:id="rId20" w:history="1">
        <w:r w:rsidR="00AC5729" w:rsidRPr="00197776">
          <w:rPr>
            <w:rStyle w:val="Hyperlink"/>
            <w:rFonts w:cs="Arial"/>
            <w:sz w:val="22"/>
            <w:szCs w:val="22"/>
          </w:rPr>
          <w:t xml:space="preserve">Section </w:t>
        </w:r>
        <w:r w:rsidR="00AC5729">
          <w:rPr>
            <w:rStyle w:val="Hyperlink"/>
            <w:rFonts w:cs="Arial"/>
            <w:sz w:val="22"/>
            <w:szCs w:val="22"/>
          </w:rPr>
          <w:t>41</w:t>
        </w:r>
      </w:hyperlink>
      <w:r w:rsidR="00AC5729" w:rsidRPr="00197776">
        <w:rPr>
          <w:rStyle w:val="SummaryText"/>
          <w:rFonts w:cs="Arial"/>
          <w:i w:val="0"/>
          <w:iCs w:val="0"/>
          <w:sz w:val="22"/>
          <w:szCs w:val="22"/>
        </w:rPr>
        <w:t xml:space="preserve"> </w:t>
      </w:r>
      <w:r w:rsidR="00B4162A">
        <w:rPr>
          <w:rStyle w:val="SummaryText"/>
          <w:rFonts w:cs="Arial"/>
          <w:i w:val="0"/>
          <w:iCs w:val="0"/>
          <w:sz w:val="22"/>
          <w:szCs w:val="22"/>
        </w:rPr>
        <w:tab/>
      </w:r>
      <w:r w:rsidR="00B4162A" w:rsidRPr="00197776">
        <w:rPr>
          <w:rStyle w:val="SummaryText"/>
          <w:rFonts w:cs="Arial"/>
          <w:i w:val="0"/>
          <w:sz w:val="22"/>
          <w:szCs w:val="22"/>
        </w:rPr>
        <w:t>Duty of importer or manufacturer to report untoward effects of medicines</w:t>
      </w:r>
    </w:p>
    <w:p w:rsidR="00871072" w:rsidRDefault="00871072" w:rsidP="009E795D">
      <w:pPr>
        <w:pStyle w:val="ListBullet"/>
        <w:numPr>
          <w:ilvl w:val="0"/>
          <w:numId w:val="0"/>
        </w:numPr>
        <w:tabs>
          <w:tab w:val="clear" w:pos="426"/>
          <w:tab w:val="left" w:pos="1134"/>
          <w:tab w:val="left" w:pos="2694"/>
          <w:tab w:val="left" w:pos="2835"/>
        </w:tabs>
        <w:spacing w:before="0" w:after="0" w:line="240" w:lineRule="auto"/>
        <w:ind w:left="2693" w:right="340" w:hanging="1559"/>
        <w:rPr>
          <w:rStyle w:val="SummaryText"/>
          <w:rFonts w:cs="Arial"/>
          <w:i w:val="0"/>
          <w:sz w:val="22"/>
          <w:szCs w:val="22"/>
        </w:rPr>
      </w:pPr>
    </w:p>
    <w:p w:rsidR="00871072" w:rsidRPr="00871072" w:rsidRDefault="001167BD" w:rsidP="009E795D">
      <w:pPr>
        <w:pStyle w:val="ListBullet"/>
        <w:numPr>
          <w:ilvl w:val="0"/>
          <w:numId w:val="0"/>
        </w:numPr>
        <w:tabs>
          <w:tab w:val="clear" w:pos="426"/>
          <w:tab w:val="left" w:pos="1134"/>
          <w:tab w:val="left" w:pos="2694"/>
          <w:tab w:val="left" w:pos="2835"/>
        </w:tabs>
        <w:spacing w:before="0" w:after="0" w:line="240" w:lineRule="auto"/>
        <w:ind w:left="2693" w:right="340" w:hanging="1559"/>
        <w:rPr>
          <w:rStyle w:val="SummaryText"/>
          <w:rFonts w:cs="Arial"/>
          <w:i w:val="0"/>
          <w:sz w:val="22"/>
          <w:szCs w:val="22"/>
        </w:rPr>
      </w:pPr>
      <w:hyperlink r:id="rId21" w:history="1">
        <w:r w:rsidR="00871072" w:rsidRPr="00871072">
          <w:rPr>
            <w:rStyle w:val="Hyperlink"/>
            <w:rFonts w:cs="Arial"/>
            <w:sz w:val="22"/>
            <w:szCs w:val="22"/>
          </w:rPr>
          <w:t>Section 8</w:t>
        </w:r>
      </w:hyperlink>
      <w:r w:rsidR="00871072">
        <w:rPr>
          <w:rStyle w:val="SummaryText"/>
          <w:rFonts w:cs="Arial"/>
          <w:i w:val="0"/>
          <w:sz w:val="22"/>
          <w:szCs w:val="22"/>
        </w:rPr>
        <w:tab/>
        <w:t>Advisory and technical committees</w:t>
      </w:r>
    </w:p>
    <w:bookmarkEnd w:id="51"/>
    <w:p w:rsidR="00EB4F6C" w:rsidRDefault="00EB4F6C" w:rsidP="004E14A7">
      <w:pPr>
        <w:ind w:right="340"/>
        <w:rPr>
          <w:szCs w:val="22"/>
        </w:rPr>
      </w:pPr>
    </w:p>
    <w:p w:rsidR="009E795D" w:rsidRPr="00B4162A" w:rsidRDefault="009E795D" w:rsidP="004E14A7">
      <w:pPr>
        <w:ind w:right="340"/>
        <w:rPr>
          <w:szCs w:val="22"/>
        </w:rPr>
      </w:pPr>
    </w:p>
    <w:p w:rsidR="00EB4F6C" w:rsidRDefault="00172D16" w:rsidP="000449A3">
      <w:pPr>
        <w:spacing w:line="280" w:lineRule="atLeast"/>
        <w:ind w:right="340"/>
        <w:rPr>
          <w:rStyle w:val="SummaryText"/>
          <w:i w:val="0"/>
          <w:sz w:val="22"/>
          <w:szCs w:val="22"/>
        </w:rPr>
      </w:pPr>
      <w:r>
        <w:rPr>
          <w:rStyle w:val="SummaryText"/>
          <w:i w:val="0"/>
          <w:sz w:val="22"/>
          <w:szCs w:val="22"/>
        </w:rPr>
        <w:t>T</w:t>
      </w:r>
      <w:r w:rsidR="00276134" w:rsidRPr="00EB4F6C">
        <w:rPr>
          <w:rStyle w:val="SummaryText"/>
          <w:i w:val="0"/>
          <w:sz w:val="22"/>
          <w:szCs w:val="22"/>
        </w:rPr>
        <w:t xml:space="preserve">he following </w:t>
      </w:r>
      <w:r>
        <w:rPr>
          <w:rStyle w:val="SummaryText"/>
          <w:i w:val="0"/>
          <w:sz w:val="22"/>
          <w:szCs w:val="22"/>
        </w:rPr>
        <w:t xml:space="preserve">New Zealand </w:t>
      </w:r>
      <w:r w:rsidR="00276134">
        <w:rPr>
          <w:rStyle w:val="SummaryText"/>
          <w:i w:val="0"/>
          <w:sz w:val="22"/>
          <w:szCs w:val="22"/>
        </w:rPr>
        <w:t>guidance documents</w:t>
      </w:r>
      <w:r w:rsidR="00276134" w:rsidRPr="00EB4F6C">
        <w:rPr>
          <w:rStyle w:val="SummaryText"/>
          <w:i w:val="0"/>
          <w:sz w:val="22"/>
          <w:szCs w:val="22"/>
        </w:rPr>
        <w:t xml:space="preserve"> </w:t>
      </w:r>
      <w:r>
        <w:rPr>
          <w:rStyle w:val="SummaryText"/>
          <w:i w:val="0"/>
          <w:sz w:val="22"/>
          <w:szCs w:val="22"/>
        </w:rPr>
        <w:t>may also be of interest</w:t>
      </w:r>
      <w:r w:rsidR="00276134" w:rsidRPr="00276134">
        <w:rPr>
          <w:rStyle w:val="SummaryText"/>
          <w:i w:val="0"/>
          <w:sz w:val="22"/>
          <w:szCs w:val="22"/>
        </w:rPr>
        <w:t>:</w:t>
      </w:r>
    </w:p>
    <w:p w:rsidR="0012404E" w:rsidRPr="00276134" w:rsidRDefault="0012404E" w:rsidP="004E14A7">
      <w:pPr>
        <w:spacing w:line="280" w:lineRule="atLeast"/>
        <w:ind w:right="340"/>
        <w:rPr>
          <w:rFonts w:cs="Arial"/>
          <w:szCs w:val="22"/>
        </w:rPr>
      </w:pPr>
    </w:p>
    <w:p w:rsidR="004F04F5" w:rsidRPr="00CE2270" w:rsidRDefault="001167BD" w:rsidP="004F04F5">
      <w:pPr>
        <w:pStyle w:val="ListBullet"/>
        <w:spacing w:before="120" w:after="240"/>
        <w:ind w:right="340"/>
        <w:rPr>
          <w:bCs/>
          <w:color w:val="008080"/>
          <w:sz w:val="22"/>
          <w:u w:val="single"/>
        </w:rPr>
      </w:pPr>
      <w:hyperlink r:id="rId22" w:history="1">
        <w:r w:rsidR="004F04F5" w:rsidRPr="00CE2270">
          <w:rPr>
            <w:rStyle w:val="Hyperlink"/>
            <w:bCs/>
            <w:sz w:val="22"/>
          </w:rPr>
          <w:t>Medicines New Zealand Inc. Code of Practice</w:t>
        </w:r>
      </w:hyperlink>
    </w:p>
    <w:p w:rsidR="004F04F5" w:rsidRPr="00CE2270" w:rsidRDefault="001167BD" w:rsidP="004F04F5">
      <w:pPr>
        <w:pStyle w:val="ListBullet"/>
        <w:spacing w:before="120" w:after="240" w:line="300" w:lineRule="atLeast"/>
        <w:ind w:left="714" w:right="340" w:hanging="357"/>
        <w:rPr>
          <w:rStyle w:val="Hyperlink"/>
          <w:bCs/>
          <w:sz w:val="22"/>
        </w:rPr>
      </w:pPr>
      <w:hyperlink r:id="rId23" w:history="1">
        <w:r w:rsidR="004F04F5" w:rsidRPr="00CE2270">
          <w:rPr>
            <w:rStyle w:val="Hyperlink"/>
            <w:bCs/>
            <w:sz w:val="22"/>
          </w:rPr>
          <w:t>National Ethics Advisory Committee Ethical Guidelines for Health and Disability Research</w:t>
        </w:r>
      </w:hyperlink>
    </w:p>
    <w:p w:rsidR="004F04F5" w:rsidRDefault="001167BD" w:rsidP="004F04F5">
      <w:pPr>
        <w:pStyle w:val="ListBullet"/>
        <w:spacing w:before="120" w:after="240"/>
        <w:ind w:right="340"/>
        <w:rPr>
          <w:rStyle w:val="Hyperlink"/>
          <w:bCs/>
          <w:sz w:val="22"/>
        </w:rPr>
      </w:pPr>
      <w:hyperlink r:id="rId24" w:history="1">
        <w:r w:rsidR="004F04F5" w:rsidRPr="00CE2270">
          <w:rPr>
            <w:rStyle w:val="Hyperlink"/>
            <w:bCs/>
            <w:sz w:val="22"/>
          </w:rPr>
          <w:t xml:space="preserve">Pharmacy Council </w:t>
        </w:r>
        <w:r w:rsidR="00172D16">
          <w:rPr>
            <w:rStyle w:val="Hyperlink"/>
            <w:bCs/>
            <w:sz w:val="22"/>
          </w:rPr>
          <w:t xml:space="preserve">of New Zealand </w:t>
        </w:r>
        <w:r w:rsidR="004F04F5" w:rsidRPr="00CE2270">
          <w:rPr>
            <w:rStyle w:val="Hyperlink"/>
            <w:bCs/>
            <w:sz w:val="22"/>
          </w:rPr>
          <w:t>Code of Ethics</w:t>
        </w:r>
      </w:hyperlink>
    </w:p>
    <w:p w:rsidR="00766089" w:rsidRPr="00CE2270" w:rsidRDefault="001167BD" w:rsidP="004F04F5">
      <w:pPr>
        <w:pStyle w:val="ListBullet"/>
        <w:spacing w:before="120" w:after="240"/>
        <w:ind w:right="340"/>
        <w:rPr>
          <w:rStyle w:val="Hyperlink"/>
          <w:bCs/>
          <w:sz w:val="22"/>
        </w:rPr>
      </w:pPr>
      <w:hyperlink r:id="rId25" w:history="1">
        <w:r w:rsidR="00766089" w:rsidRPr="00766089">
          <w:rPr>
            <w:rStyle w:val="Hyperlink"/>
            <w:bCs/>
            <w:sz w:val="22"/>
          </w:rPr>
          <w:t>Medical Council of New Zealand Good Medical Practice</w:t>
        </w:r>
      </w:hyperlink>
    </w:p>
    <w:p w:rsidR="001A5EAE" w:rsidRDefault="001A5EAE" w:rsidP="00CC64BF">
      <w:pPr>
        <w:ind w:right="340"/>
        <w:rPr>
          <w:szCs w:val="22"/>
        </w:rPr>
      </w:pPr>
    </w:p>
    <w:p w:rsidR="00172D16" w:rsidRPr="00CC64BF" w:rsidRDefault="00172D16" w:rsidP="00CC64BF">
      <w:pPr>
        <w:ind w:right="340"/>
        <w:rPr>
          <w:szCs w:val="22"/>
        </w:rPr>
      </w:pPr>
    </w:p>
    <w:p w:rsidR="00CC64BF" w:rsidRDefault="00CC64BF">
      <w:r>
        <w:t xml:space="preserve">This guideline includes recommendations that are not currently underpinned by medicines legislation. These </w:t>
      </w:r>
      <w:r w:rsidR="00923487">
        <w:t>recommendations</w:t>
      </w:r>
      <w:r>
        <w:t xml:space="preserve"> aim to provide guidance on best practice in terms of </w:t>
      </w:r>
      <w:proofErr w:type="spellStart"/>
      <w:r>
        <w:t>pharmacovigilance</w:t>
      </w:r>
      <w:proofErr w:type="spellEnd"/>
      <w:r>
        <w:t>.</w:t>
      </w:r>
    </w:p>
    <w:p w:rsidR="00952DCF" w:rsidRDefault="00952DCF">
      <w:r>
        <w:br w:type="page"/>
      </w:r>
    </w:p>
    <w:p w:rsidR="00952DCF" w:rsidRDefault="00952DCF" w:rsidP="00952DCF">
      <w:pPr>
        <w:pStyle w:val="NoHeading1"/>
        <w:spacing w:after="0" w:line="280" w:lineRule="atLeast"/>
      </w:pPr>
      <w:bookmarkStart w:id="52" w:name="_Toc414346384"/>
      <w:bookmarkStart w:id="53" w:name="_Toc414522773"/>
      <w:r>
        <w:t>Section 2:</w:t>
      </w:r>
      <w:r>
        <w:tab/>
        <w:t>Roles</w:t>
      </w:r>
      <w:r w:rsidR="006C2439">
        <w:t xml:space="preserve"> and Responsibilities</w:t>
      </w:r>
      <w:bookmarkEnd w:id="52"/>
      <w:bookmarkEnd w:id="53"/>
    </w:p>
    <w:p w:rsidR="00952DCF" w:rsidRDefault="00952DCF" w:rsidP="00952DCF"/>
    <w:p w:rsidR="00952DCF" w:rsidRDefault="00952DCF" w:rsidP="00952DCF"/>
    <w:p w:rsidR="007F0424" w:rsidRDefault="007F0424" w:rsidP="007F0424">
      <w:pPr>
        <w:pBdr>
          <w:top w:val="single" w:sz="4" w:space="0" w:color="auto"/>
          <w:left w:val="single" w:sz="4" w:space="4" w:color="auto"/>
          <w:bottom w:val="single" w:sz="4" w:space="0" w:color="auto"/>
          <w:right w:val="single" w:sz="4" w:space="15" w:color="auto"/>
        </w:pBdr>
        <w:ind w:right="340"/>
        <w:contextualSpacing/>
        <w:rPr>
          <w:rStyle w:val="NormalBoldTeal"/>
          <w:sz w:val="24"/>
        </w:rPr>
      </w:pPr>
    </w:p>
    <w:p w:rsidR="00952DCF" w:rsidRDefault="00952DCF" w:rsidP="007F0424">
      <w:pPr>
        <w:pBdr>
          <w:top w:val="single" w:sz="4" w:space="0" w:color="auto"/>
          <w:left w:val="single" w:sz="4" w:space="4" w:color="auto"/>
          <w:bottom w:val="single" w:sz="4" w:space="0" w:color="auto"/>
          <w:right w:val="single" w:sz="4" w:space="15" w:color="auto"/>
        </w:pBdr>
        <w:spacing w:after="120"/>
        <w:ind w:right="340"/>
        <w:rPr>
          <w:rStyle w:val="NormalBoldTeal"/>
          <w:sz w:val="24"/>
        </w:rPr>
      </w:pPr>
      <w:r w:rsidRPr="00557EA4">
        <w:rPr>
          <w:rStyle w:val="NormalBoldTeal"/>
          <w:sz w:val="24"/>
        </w:rPr>
        <w:t>Section summary</w:t>
      </w:r>
    </w:p>
    <w:p w:rsidR="00952DCF" w:rsidRDefault="00952DCF" w:rsidP="007F0424">
      <w:pPr>
        <w:pBdr>
          <w:top w:val="single" w:sz="4" w:space="0" w:color="auto"/>
          <w:left w:val="single" w:sz="4" w:space="4" w:color="auto"/>
          <w:bottom w:val="single" w:sz="4" w:space="0" w:color="auto"/>
          <w:right w:val="single" w:sz="4" w:space="15" w:color="auto"/>
        </w:pBdr>
        <w:spacing w:before="120"/>
        <w:ind w:right="340"/>
        <w:contextualSpacing/>
        <w:rPr>
          <w:rStyle w:val="SummaryText"/>
          <w:sz w:val="22"/>
          <w:szCs w:val="22"/>
        </w:rPr>
      </w:pPr>
      <w:r w:rsidRPr="00CD6EF8">
        <w:rPr>
          <w:rStyle w:val="SummaryText"/>
          <w:sz w:val="22"/>
          <w:szCs w:val="22"/>
        </w:rPr>
        <w:t>This section</w:t>
      </w:r>
      <w:r>
        <w:rPr>
          <w:rStyle w:val="SummaryText"/>
          <w:sz w:val="22"/>
          <w:szCs w:val="22"/>
        </w:rPr>
        <w:t xml:space="preserve"> describes the role of the regulator and </w:t>
      </w:r>
      <w:r w:rsidR="00172D16">
        <w:rPr>
          <w:rStyle w:val="SummaryText"/>
          <w:sz w:val="22"/>
          <w:szCs w:val="22"/>
        </w:rPr>
        <w:t xml:space="preserve">the </w:t>
      </w:r>
      <w:r>
        <w:rPr>
          <w:rStyle w:val="SummaryText"/>
          <w:sz w:val="22"/>
          <w:szCs w:val="22"/>
        </w:rPr>
        <w:t>responsibilities and obligations of the sponsor in establishing a risk based approach to the monitoring, reporting, and management of adverse reactions associated with the use of medicines.</w:t>
      </w:r>
    </w:p>
    <w:p w:rsidR="007F0424" w:rsidRPr="007F0424" w:rsidRDefault="007F0424" w:rsidP="007F0424">
      <w:pPr>
        <w:pBdr>
          <w:top w:val="single" w:sz="4" w:space="0" w:color="auto"/>
          <w:left w:val="single" w:sz="4" w:space="4" w:color="auto"/>
          <w:bottom w:val="single" w:sz="4" w:space="0" w:color="auto"/>
          <w:right w:val="single" w:sz="4" w:space="15" w:color="auto"/>
        </w:pBdr>
        <w:ind w:right="340"/>
        <w:contextualSpacing/>
        <w:rPr>
          <w:rStyle w:val="SummaryText"/>
          <w:i w:val="0"/>
          <w:sz w:val="22"/>
          <w:szCs w:val="22"/>
        </w:rPr>
      </w:pPr>
    </w:p>
    <w:p w:rsidR="00952DCF" w:rsidRPr="00952DCF" w:rsidRDefault="00952DCF" w:rsidP="006C2439"/>
    <w:p w:rsidR="00AB1D93" w:rsidRPr="004D2A80" w:rsidRDefault="00952DCF" w:rsidP="008E20AE">
      <w:pPr>
        <w:pStyle w:val="NoHeading2"/>
        <w:keepNext/>
        <w:spacing w:before="120"/>
        <w:ind w:right="340"/>
      </w:pPr>
      <w:bookmarkStart w:id="54" w:name="_Toc414346385"/>
      <w:bookmarkStart w:id="55" w:name="_Toc414522774"/>
      <w:r>
        <w:t>2</w:t>
      </w:r>
      <w:r w:rsidR="006C2439">
        <w:t>.1</w:t>
      </w:r>
      <w:r w:rsidR="001A5EAE" w:rsidRPr="00C84B11">
        <w:tab/>
      </w:r>
      <w:r w:rsidR="00923487">
        <w:t>Introduction</w:t>
      </w:r>
      <w:bookmarkEnd w:id="54"/>
      <w:bookmarkEnd w:id="55"/>
    </w:p>
    <w:p w:rsidR="00C84B11" w:rsidRDefault="00C84B11" w:rsidP="00AB1D93">
      <w:pPr>
        <w:spacing w:line="280" w:lineRule="atLeast"/>
        <w:rPr>
          <w:rFonts w:cs="Arial"/>
          <w:szCs w:val="22"/>
        </w:rPr>
      </w:pPr>
    </w:p>
    <w:p w:rsidR="00D70633" w:rsidRDefault="00D70633" w:rsidP="00D70633">
      <w:pPr>
        <w:spacing w:line="280" w:lineRule="atLeast"/>
        <w:rPr>
          <w:rFonts w:cs="Arial"/>
          <w:szCs w:val="22"/>
        </w:rPr>
      </w:pPr>
      <w:r>
        <w:rPr>
          <w:rFonts w:cs="Arial"/>
          <w:szCs w:val="22"/>
        </w:rPr>
        <w:t xml:space="preserve">New Zealand has an established </w:t>
      </w:r>
      <w:proofErr w:type="spellStart"/>
      <w:r>
        <w:rPr>
          <w:rFonts w:cs="Arial"/>
          <w:szCs w:val="22"/>
        </w:rPr>
        <w:t>pharmacovigilance</w:t>
      </w:r>
      <w:proofErr w:type="spellEnd"/>
      <w:r>
        <w:rPr>
          <w:rFonts w:cs="Arial"/>
          <w:szCs w:val="22"/>
        </w:rPr>
        <w:t xml:space="preserve"> system for collecting and evaluating information relevant to the </w:t>
      </w:r>
      <w:r w:rsidR="00F97E9C">
        <w:rPr>
          <w:rFonts w:cs="Arial"/>
          <w:szCs w:val="22"/>
        </w:rPr>
        <w:t>benefit</w:t>
      </w:r>
      <w:r w:rsidR="00766089">
        <w:rPr>
          <w:rFonts w:cs="Arial"/>
          <w:szCs w:val="22"/>
        </w:rPr>
        <w:t>s and risks</w:t>
      </w:r>
      <w:r w:rsidR="00F97E9C">
        <w:rPr>
          <w:rFonts w:cs="Arial"/>
          <w:szCs w:val="22"/>
        </w:rPr>
        <w:t xml:space="preserve"> of harm</w:t>
      </w:r>
      <w:r>
        <w:rPr>
          <w:rFonts w:cs="Arial"/>
          <w:szCs w:val="22"/>
        </w:rPr>
        <w:t xml:space="preserve"> of approved medicines. </w:t>
      </w:r>
    </w:p>
    <w:p w:rsidR="00D70633" w:rsidRDefault="00D70633" w:rsidP="00D70633">
      <w:pPr>
        <w:spacing w:line="280" w:lineRule="atLeast"/>
        <w:rPr>
          <w:rFonts w:cs="Arial"/>
          <w:szCs w:val="22"/>
        </w:rPr>
      </w:pPr>
    </w:p>
    <w:p w:rsidR="00C428AB" w:rsidRDefault="007563FC" w:rsidP="00AB1D93">
      <w:pPr>
        <w:spacing w:line="280" w:lineRule="atLeast"/>
        <w:rPr>
          <w:rFonts w:cs="Arial"/>
          <w:szCs w:val="22"/>
        </w:rPr>
      </w:pPr>
      <w:r>
        <w:rPr>
          <w:rFonts w:cs="Arial"/>
          <w:szCs w:val="22"/>
        </w:rPr>
        <w:t>Before</w:t>
      </w:r>
      <w:r w:rsidR="00C428AB">
        <w:rPr>
          <w:rFonts w:cs="Arial"/>
          <w:szCs w:val="22"/>
        </w:rPr>
        <w:t xml:space="preserve"> a new medicine </w:t>
      </w:r>
      <w:r>
        <w:rPr>
          <w:rFonts w:cs="Arial"/>
          <w:szCs w:val="22"/>
        </w:rPr>
        <w:t xml:space="preserve">is </w:t>
      </w:r>
      <w:r w:rsidR="00F97E9C">
        <w:rPr>
          <w:rFonts w:cs="Arial"/>
          <w:szCs w:val="22"/>
        </w:rPr>
        <w:t>given</w:t>
      </w:r>
      <w:r w:rsidR="00C428AB">
        <w:rPr>
          <w:rFonts w:cs="Arial"/>
          <w:szCs w:val="22"/>
        </w:rPr>
        <w:t xml:space="preserve"> </w:t>
      </w:r>
      <w:r w:rsidR="00F97E9C">
        <w:rPr>
          <w:rFonts w:cs="Arial"/>
          <w:szCs w:val="22"/>
        </w:rPr>
        <w:t xml:space="preserve">consent to be </w:t>
      </w:r>
      <w:r w:rsidR="00C428AB">
        <w:rPr>
          <w:rFonts w:cs="Arial"/>
          <w:szCs w:val="22"/>
        </w:rPr>
        <w:t xml:space="preserve">distributed in New Zealand, the clinical benefits </w:t>
      </w:r>
      <w:r w:rsidR="00F67EE3">
        <w:rPr>
          <w:rFonts w:cs="Arial"/>
          <w:szCs w:val="22"/>
        </w:rPr>
        <w:t xml:space="preserve">and risks of harm </w:t>
      </w:r>
      <w:r w:rsidR="00C428AB">
        <w:rPr>
          <w:rFonts w:cs="Arial"/>
          <w:szCs w:val="22"/>
        </w:rPr>
        <w:t>of the product</w:t>
      </w:r>
      <w:r w:rsidR="00172D16">
        <w:rPr>
          <w:rFonts w:cs="Arial"/>
          <w:szCs w:val="22"/>
        </w:rPr>
        <w:t xml:space="preserve"> are considered during the approval process</w:t>
      </w:r>
      <w:r w:rsidR="00766089">
        <w:rPr>
          <w:rFonts w:cs="Arial"/>
          <w:szCs w:val="22"/>
        </w:rPr>
        <w:t>.</w:t>
      </w:r>
      <w:r w:rsidR="00C428AB">
        <w:rPr>
          <w:rFonts w:cs="Arial"/>
          <w:szCs w:val="22"/>
        </w:rPr>
        <w:t xml:space="preserve"> </w:t>
      </w:r>
      <w:r w:rsidR="00766089">
        <w:rPr>
          <w:rFonts w:cs="Arial"/>
          <w:szCs w:val="22"/>
        </w:rPr>
        <w:t xml:space="preserve">This </w:t>
      </w:r>
      <w:r w:rsidR="004A4A74">
        <w:rPr>
          <w:rFonts w:cs="Arial"/>
          <w:szCs w:val="22"/>
        </w:rPr>
        <w:t xml:space="preserve">information </w:t>
      </w:r>
      <w:r w:rsidR="00F70CF8">
        <w:rPr>
          <w:rFonts w:cs="Arial"/>
          <w:szCs w:val="22"/>
        </w:rPr>
        <w:t xml:space="preserve">is usually obtained from clinical trials on limited numbers of patients </w:t>
      </w:r>
      <w:r w:rsidR="00766089">
        <w:rPr>
          <w:rFonts w:cs="Arial"/>
          <w:szCs w:val="22"/>
        </w:rPr>
        <w:t>and/</w:t>
      </w:r>
      <w:r w:rsidR="00F70CF8">
        <w:rPr>
          <w:rFonts w:cs="Arial"/>
          <w:szCs w:val="22"/>
        </w:rPr>
        <w:t xml:space="preserve">or for a limited period of time. This means that at the time of approval, the evidence of safety </w:t>
      </w:r>
      <w:r w:rsidR="00D70633">
        <w:rPr>
          <w:rFonts w:cs="Arial"/>
          <w:szCs w:val="22"/>
        </w:rPr>
        <w:t xml:space="preserve">is relatively </w:t>
      </w:r>
      <w:r w:rsidR="00F70CF8">
        <w:rPr>
          <w:rFonts w:cs="Arial"/>
          <w:szCs w:val="22"/>
        </w:rPr>
        <w:t>limited</w:t>
      </w:r>
      <w:r w:rsidR="004A4A74">
        <w:rPr>
          <w:rFonts w:cs="Arial"/>
          <w:szCs w:val="22"/>
        </w:rPr>
        <w:t>.</w:t>
      </w:r>
      <w:r w:rsidR="00D70633">
        <w:rPr>
          <w:rFonts w:cs="Arial"/>
          <w:szCs w:val="22"/>
        </w:rPr>
        <w:t xml:space="preserve"> </w:t>
      </w:r>
      <w:r w:rsidR="004A4A74">
        <w:rPr>
          <w:rFonts w:cs="Arial"/>
          <w:szCs w:val="22"/>
        </w:rPr>
        <w:t>I</w:t>
      </w:r>
      <w:r w:rsidR="00D70633">
        <w:rPr>
          <w:rFonts w:cs="Arial"/>
          <w:szCs w:val="22"/>
        </w:rPr>
        <w:t xml:space="preserve">t is not until the medicine begins to be </w:t>
      </w:r>
      <w:r w:rsidR="00F97E9C">
        <w:rPr>
          <w:rFonts w:cs="Arial"/>
          <w:szCs w:val="22"/>
        </w:rPr>
        <w:t>used</w:t>
      </w:r>
      <w:r w:rsidR="00D70633">
        <w:rPr>
          <w:rFonts w:cs="Arial"/>
          <w:szCs w:val="22"/>
        </w:rPr>
        <w:t xml:space="preserve"> </w:t>
      </w:r>
      <w:r w:rsidR="00F67EE3">
        <w:rPr>
          <w:rFonts w:cs="Arial"/>
          <w:szCs w:val="22"/>
        </w:rPr>
        <w:t xml:space="preserve">widely </w:t>
      </w:r>
      <w:r w:rsidR="00D70633">
        <w:rPr>
          <w:rFonts w:cs="Arial"/>
          <w:szCs w:val="22"/>
        </w:rPr>
        <w:t xml:space="preserve">that additional information may be </w:t>
      </w:r>
      <w:r w:rsidR="00F97E9C">
        <w:rPr>
          <w:rFonts w:cs="Arial"/>
          <w:szCs w:val="22"/>
        </w:rPr>
        <w:t>gathered</w:t>
      </w:r>
      <w:r w:rsidR="00D70633">
        <w:rPr>
          <w:rFonts w:cs="Arial"/>
          <w:szCs w:val="22"/>
        </w:rPr>
        <w:t>.</w:t>
      </w:r>
      <w:r w:rsidR="00F97E9C">
        <w:rPr>
          <w:rFonts w:cs="Arial"/>
          <w:szCs w:val="22"/>
        </w:rPr>
        <w:t xml:space="preserve"> </w:t>
      </w:r>
      <w:r>
        <w:rPr>
          <w:rFonts w:cs="Arial"/>
          <w:szCs w:val="22"/>
        </w:rPr>
        <w:t xml:space="preserve">Any new information that changes the balance </w:t>
      </w:r>
      <w:r w:rsidR="00D70633">
        <w:rPr>
          <w:rFonts w:cs="Arial"/>
          <w:szCs w:val="22"/>
        </w:rPr>
        <w:t xml:space="preserve">of benefit </w:t>
      </w:r>
      <w:r w:rsidR="00766089">
        <w:rPr>
          <w:rFonts w:cs="Arial"/>
          <w:szCs w:val="22"/>
        </w:rPr>
        <w:t xml:space="preserve">and risk </w:t>
      </w:r>
      <w:r>
        <w:rPr>
          <w:rFonts w:cs="Arial"/>
          <w:szCs w:val="22"/>
        </w:rPr>
        <w:t>may affect the acceptab</w:t>
      </w:r>
      <w:r w:rsidR="00766089">
        <w:rPr>
          <w:rFonts w:cs="Arial"/>
          <w:szCs w:val="22"/>
        </w:rPr>
        <w:t>ility</w:t>
      </w:r>
      <w:r>
        <w:rPr>
          <w:rFonts w:cs="Arial"/>
          <w:szCs w:val="22"/>
        </w:rPr>
        <w:t xml:space="preserve"> of the </w:t>
      </w:r>
      <w:r w:rsidR="004D2A80">
        <w:rPr>
          <w:rFonts w:cs="Arial"/>
          <w:szCs w:val="22"/>
        </w:rPr>
        <w:t>medicine</w:t>
      </w:r>
      <w:r>
        <w:rPr>
          <w:rFonts w:cs="Arial"/>
          <w:szCs w:val="22"/>
        </w:rPr>
        <w:t>.</w:t>
      </w:r>
      <w:r w:rsidR="0042495A">
        <w:rPr>
          <w:rFonts w:cs="Arial"/>
          <w:szCs w:val="22"/>
        </w:rPr>
        <w:t xml:space="preserve"> In addition, the evaluation of this balance may change over time as new information </w:t>
      </w:r>
      <w:r w:rsidR="00172D16">
        <w:rPr>
          <w:rFonts w:cs="Arial"/>
          <w:szCs w:val="22"/>
        </w:rPr>
        <w:t>becomes available</w:t>
      </w:r>
      <w:r w:rsidR="0042495A">
        <w:rPr>
          <w:rFonts w:cs="Arial"/>
          <w:szCs w:val="22"/>
        </w:rPr>
        <w:t>.</w:t>
      </w:r>
    </w:p>
    <w:p w:rsidR="00F42997" w:rsidRDefault="00F42997" w:rsidP="00AB1D93">
      <w:pPr>
        <w:spacing w:line="280" w:lineRule="atLeast"/>
        <w:rPr>
          <w:rFonts w:cs="Arial"/>
          <w:szCs w:val="22"/>
        </w:rPr>
      </w:pPr>
    </w:p>
    <w:p w:rsidR="000A4530" w:rsidRDefault="000A4530" w:rsidP="00AB1D93">
      <w:pPr>
        <w:spacing w:line="280" w:lineRule="atLeast"/>
        <w:rPr>
          <w:rFonts w:cs="Arial"/>
          <w:szCs w:val="22"/>
        </w:rPr>
      </w:pPr>
    </w:p>
    <w:p w:rsidR="00923487" w:rsidRPr="00923487" w:rsidRDefault="00923487" w:rsidP="00923487">
      <w:pPr>
        <w:pStyle w:val="NoHeading2"/>
        <w:keepNext/>
        <w:spacing w:before="120"/>
        <w:ind w:right="340"/>
      </w:pPr>
      <w:bookmarkStart w:id="56" w:name="_Toc414346386"/>
      <w:bookmarkStart w:id="57" w:name="_Toc414522775"/>
      <w:r w:rsidRPr="00923487">
        <w:t>2.2</w:t>
      </w:r>
      <w:r w:rsidRPr="00923487">
        <w:tab/>
        <w:t>Role of the Regulator</w:t>
      </w:r>
      <w:bookmarkEnd w:id="56"/>
      <w:bookmarkEnd w:id="57"/>
    </w:p>
    <w:p w:rsidR="00923487" w:rsidRDefault="00923487" w:rsidP="00AB1D93">
      <w:pPr>
        <w:spacing w:line="280" w:lineRule="atLeast"/>
        <w:rPr>
          <w:rFonts w:cs="Arial"/>
          <w:szCs w:val="22"/>
        </w:rPr>
      </w:pPr>
    </w:p>
    <w:p w:rsidR="00AB1D93" w:rsidRDefault="006C6FFE" w:rsidP="00AB1D93">
      <w:pPr>
        <w:spacing w:line="280" w:lineRule="atLeast"/>
        <w:rPr>
          <w:rFonts w:cs="Arial"/>
          <w:szCs w:val="22"/>
        </w:rPr>
      </w:pPr>
      <w:r>
        <w:rPr>
          <w:rFonts w:cs="Arial"/>
          <w:szCs w:val="22"/>
        </w:rPr>
        <w:t>It is one</w:t>
      </w:r>
      <w:r w:rsidR="00F42997" w:rsidRPr="00674E54">
        <w:rPr>
          <w:rFonts w:cs="Arial"/>
          <w:szCs w:val="22"/>
        </w:rPr>
        <w:t xml:space="preserve"> </w:t>
      </w:r>
      <w:r w:rsidR="002D2771">
        <w:rPr>
          <w:rFonts w:cs="Arial"/>
          <w:szCs w:val="22"/>
        </w:rPr>
        <w:t xml:space="preserve">of </w:t>
      </w:r>
      <w:proofErr w:type="spellStart"/>
      <w:r w:rsidR="00F42997" w:rsidRPr="00674E54">
        <w:rPr>
          <w:rFonts w:cs="Arial"/>
          <w:szCs w:val="22"/>
        </w:rPr>
        <w:t>Medsafe’s</w:t>
      </w:r>
      <w:proofErr w:type="spellEnd"/>
      <w:r w:rsidR="00F42997" w:rsidRPr="00674E54">
        <w:rPr>
          <w:rFonts w:cs="Arial"/>
          <w:szCs w:val="22"/>
        </w:rPr>
        <w:t xml:space="preserve"> responsibilit</w:t>
      </w:r>
      <w:r>
        <w:rPr>
          <w:rFonts w:cs="Arial"/>
          <w:szCs w:val="22"/>
        </w:rPr>
        <w:t>ies</w:t>
      </w:r>
      <w:r w:rsidR="00F42997">
        <w:rPr>
          <w:rFonts w:cs="Arial"/>
          <w:szCs w:val="22"/>
        </w:rPr>
        <w:t xml:space="preserve">, as </w:t>
      </w:r>
      <w:r>
        <w:rPr>
          <w:rFonts w:cs="Arial"/>
          <w:szCs w:val="22"/>
        </w:rPr>
        <w:t>a part</w:t>
      </w:r>
      <w:r w:rsidR="00F42997">
        <w:rPr>
          <w:rFonts w:cs="Arial"/>
          <w:szCs w:val="22"/>
        </w:rPr>
        <w:t xml:space="preserve"> of the Ministry of Health,</w:t>
      </w:r>
      <w:r w:rsidR="00F42997" w:rsidRPr="00674E54">
        <w:rPr>
          <w:rFonts w:cs="Arial"/>
          <w:szCs w:val="22"/>
        </w:rPr>
        <w:t xml:space="preserve"> to </w:t>
      </w:r>
      <w:r w:rsidR="004D2A80">
        <w:rPr>
          <w:rFonts w:cs="Arial"/>
          <w:szCs w:val="22"/>
        </w:rPr>
        <w:t xml:space="preserve">continually monitor the </w:t>
      </w:r>
      <w:r w:rsidR="00F97E9C">
        <w:rPr>
          <w:rFonts w:cs="Arial"/>
          <w:szCs w:val="22"/>
        </w:rPr>
        <w:t>benefits and risk</w:t>
      </w:r>
      <w:r w:rsidR="00766089">
        <w:rPr>
          <w:rFonts w:cs="Arial"/>
          <w:szCs w:val="22"/>
        </w:rPr>
        <w:t>s</w:t>
      </w:r>
      <w:r w:rsidR="00F97E9C">
        <w:rPr>
          <w:rFonts w:cs="Arial"/>
          <w:szCs w:val="22"/>
        </w:rPr>
        <w:t xml:space="preserve"> of harm</w:t>
      </w:r>
      <w:r w:rsidR="004D2A80">
        <w:rPr>
          <w:rFonts w:cs="Arial"/>
          <w:szCs w:val="22"/>
        </w:rPr>
        <w:t xml:space="preserve"> of </w:t>
      </w:r>
      <w:r w:rsidR="00F42997">
        <w:rPr>
          <w:rFonts w:cs="Arial"/>
          <w:szCs w:val="22"/>
        </w:rPr>
        <w:t>approved</w:t>
      </w:r>
      <w:r w:rsidR="004D2A80">
        <w:rPr>
          <w:rFonts w:cs="Arial"/>
          <w:szCs w:val="22"/>
        </w:rPr>
        <w:t xml:space="preserve"> medicines</w:t>
      </w:r>
      <w:r w:rsidR="00766089">
        <w:rPr>
          <w:rFonts w:cs="Arial"/>
          <w:szCs w:val="22"/>
        </w:rPr>
        <w:t>.</w:t>
      </w:r>
      <w:r w:rsidR="00F42997">
        <w:rPr>
          <w:rFonts w:cs="Arial"/>
          <w:szCs w:val="22"/>
        </w:rPr>
        <w:t xml:space="preserve"> </w:t>
      </w:r>
      <w:r w:rsidR="00766089">
        <w:rPr>
          <w:rFonts w:cs="Arial"/>
          <w:szCs w:val="22"/>
        </w:rPr>
        <w:t xml:space="preserve">Medsafe </w:t>
      </w:r>
      <w:r>
        <w:rPr>
          <w:rFonts w:cs="Arial"/>
          <w:szCs w:val="22"/>
        </w:rPr>
        <w:t xml:space="preserve">detects, </w:t>
      </w:r>
      <w:r w:rsidR="00F42997" w:rsidRPr="00674E54">
        <w:rPr>
          <w:rFonts w:cs="Arial"/>
          <w:szCs w:val="22"/>
        </w:rPr>
        <w:t>investigate</w:t>
      </w:r>
      <w:r w:rsidR="00766089">
        <w:rPr>
          <w:rFonts w:cs="Arial"/>
          <w:szCs w:val="22"/>
        </w:rPr>
        <w:t>s</w:t>
      </w:r>
      <w:r w:rsidR="00F42997" w:rsidRPr="00674E54">
        <w:rPr>
          <w:rFonts w:cs="Arial"/>
          <w:szCs w:val="22"/>
        </w:rPr>
        <w:t xml:space="preserve"> and </w:t>
      </w:r>
      <w:r w:rsidR="00F42997">
        <w:rPr>
          <w:rFonts w:cs="Arial"/>
          <w:szCs w:val="22"/>
        </w:rPr>
        <w:t>take</w:t>
      </w:r>
      <w:r w:rsidR="00766089">
        <w:rPr>
          <w:rFonts w:cs="Arial"/>
          <w:szCs w:val="22"/>
        </w:rPr>
        <w:t>s</w:t>
      </w:r>
      <w:r w:rsidR="00F42997">
        <w:rPr>
          <w:rFonts w:cs="Arial"/>
          <w:szCs w:val="22"/>
        </w:rPr>
        <w:t xml:space="preserve"> </w:t>
      </w:r>
      <w:r w:rsidR="00F42997" w:rsidRPr="00674E54">
        <w:rPr>
          <w:rFonts w:cs="Arial"/>
          <w:szCs w:val="22"/>
        </w:rPr>
        <w:t xml:space="preserve">action </w:t>
      </w:r>
      <w:r w:rsidR="00F42997">
        <w:rPr>
          <w:rFonts w:cs="Arial"/>
          <w:szCs w:val="22"/>
        </w:rPr>
        <w:t xml:space="preserve">on </w:t>
      </w:r>
      <w:r w:rsidR="00F42997" w:rsidRPr="00674E54">
        <w:rPr>
          <w:rFonts w:cs="Arial"/>
          <w:szCs w:val="22"/>
        </w:rPr>
        <w:t xml:space="preserve">safety issues arising from </w:t>
      </w:r>
      <w:r w:rsidR="00F42997">
        <w:rPr>
          <w:rFonts w:cs="Arial"/>
          <w:szCs w:val="22"/>
        </w:rPr>
        <w:t>safety</w:t>
      </w:r>
      <w:r w:rsidR="00F42997" w:rsidRPr="00674E54">
        <w:rPr>
          <w:rFonts w:cs="Arial"/>
          <w:szCs w:val="22"/>
        </w:rPr>
        <w:t xml:space="preserve"> reports </w:t>
      </w:r>
      <w:r w:rsidR="00F42997">
        <w:rPr>
          <w:rFonts w:cs="Arial"/>
          <w:szCs w:val="22"/>
        </w:rPr>
        <w:t>and</w:t>
      </w:r>
      <w:r w:rsidR="00F42997" w:rsidRPr="00674E54">
        <w:rPr>
          <w:rFonts w:cs="Arial"/>
          <w:szCs w:val="22"/>
        </w:rPr>
        <w:t xml:space="preserve"> other sources of information</w:t>
      </w:r>
      <w:r w:rsidR="004D2A80">
        <w:rPr>
          <w:rFonts w:cs="Arial"/>
          <w:szCs w:val="22"/>
        </w:rPr>
        <w:t>.</w:t>
      </w:r>
      <w:r w:rsidR="00F97E9C">
        <w:rPr>
          <w:rFonts w:cs="Arial"/>
          <w:szCs w:val="22"/>
        </w:rPr>
        <w:t xml:space="preserve"> One of the sources of new information is the reporting of adverse reactions.</w:t>
      </w:r>
    </w:p>
    <w:p w:rsidR="007563FC" w:rsidRDefault="007563FC" w:rsidP="00AB1D93">
      <w:pPr>
        <w:spacing w:line="280" w:lineRule="atLeast"/>
        <w:rPr>
          <w:rFonts w:cs="Arial"/>
          <w:szCs w:val="22"/>
        </w:rPr>
      </w:pPr>
    </w:p>
    <w:p w:rsidR="00F67EE3" w:rsidRDefault="0074361E" w:rsidP="00F67EE3">
      <w:pPr>
        <w:spacing w:line="280" w:lineRule="atLeast"/>
        <w:rPr>
          <w:rFonts w:cs="Arial"/>
          <w:szCs w:val="22"/>
        </w:rPr>
      </w:pPr>
      <w:r>
        <w:rPr>
          <w:rFonts w:cs="Arial"/>
          <w:szCs w:val="22"/>
        </w:rPr>
        <w:t>P</w:t>
      </w:r>
      <w:r w:rsidR="00F67EE3">
        <w:rPr>
          <w:rFonts w:cs="Arial"/>
          <w:szCs w:val="22"/>
        </w:rPr>
        <w:t xml:space="preserve">ost-market </w:t>
      </w:r>
      <w:r w:rsidR="00AB1D93" w:rsidRPr="00674E54">
        <w:rPr>
          <w:rFonts w:cs="Arial"/>
          <w:szCs w:val="22"/>
        </w:rPr>
        <w:t xml:space="preserve">reports of suspected adverse reactions to medicines </w:t>
      </w:r>
      <w:r>
        <w:rPr>
          <w:rFonts w:cs="Arial"/>
          <w:szCs w:val="22"/>
        </w:rPr>
        <w:t xml:space="preserve">are collected in New Zealand. This </w:t>
      </w:r>
      <w:r w:rsidR="00AB1D93" w:rsidRPr="00674E54">
        <w:rPr>
          <w:rFonts w:cs="Arial"/>
          <w:szCs w:val="22"/>
        </w:rPr>
        <w:t xml:space="preserve">is contracted by the Ministry of Health to the </w:t>
      </w:r>
      <w:r w:rsidR="00AB1D93" w:rsidRPr="006C6FFE">
        <w:rPr>
          <w:rFonts w:cs="Arial"/>
          <w:szCs w:val="22"/>
        </w:rPr>
        <w:t>Centre for Adverse Reactions Monitoring</w:t>
      </w:r>
      <w:r w:rsidR="00AB1D93" w:rsidRPr="00674E54">
        <w:rPr>
          <w:rFonts w:cs="Arial"/>
          <w:szCs w:val="22"/>
        </w:rPr>
        <w:t xml:space="preserve"> (CARM). </w:t>
      </w:r>
      <w:r>
        <w:rPr>
          <w:rFonts w:cs="Arial"/>
          <w:szCs w:val="22"/>
        </w:rPr>
        <w:t xml:space="preserve">Medsafe and CARM work together to identify safety concerns from these reports. </w:t>
      </w:r>
      <w:r w:rsidR="004A4A74">
        <w:rPr>
          <w:rFonts w:cs="Arial"/>
          <w:szCs w:val="22"/>
        </w:rPr>
        <w:t xml:space="preserve">After evaluation of the information on a safety issue, </w:t>
      </w:r>
      <w:r w:rsidR="00F67EE3">
        <w:rPr>
          <w:rFonts w:cs="Arial"/>
          <w:szCs w:val="22"/>
        </w:rPr>
        <w:t xml:space="preserve">Medsafe </w:t>
      </w:r>
      <w:r w:rsidR="004A4A74">
        <w:rPr>
          <w:rFonts w:cs="Arial"/>
          <w:szCs w:val="22"/>
        </w:rPr>
        <w:t>will</w:t>
      </w:r>
      <w:r w:rsidR="00F67EE3">
        <w:rPr>
          <w:rFonts w:cs="Arial"/>
          <w:szCs w:val="22"/>
        </w:rPr>
        <w:t xml:space="preserve"> make a decision on the most appropriate regulatory action to take. </w:t>
      </w:r>
      <w:r w:rsidR="004A4A74">
        <w:rPr>
          <w:rFonts w:cs="Arial"/>
          <w:szCs w:val="22"/>
        </w:rPr>
        <w:t>Actions</w:t>
      </w:r>
      <w:r w:rsidR="00F67EE3">
        <w:rPr>
          <w:rFonts w:cs="Arial"/>
          <w:szCs w:val="22"/>
        </w:rPr>
        <w:t xml:space="preserve"> include:</w:t>
      </w:r>
    </w:p>
    <w:p w:rsidR="00F67EE3" w:rsidRDefault="00F67EE3" w:rsidP="00F67EE3">
      <w:pPr>
        <w:spacing w:line="280" w:lineRule="atLeast"/>
        <w:rPr>
          <w:rFonts w:cs="Arial"/>
          <w:szCs w:val="22"/>
        </w:rPr>
      </w:pPr>
    </w:p>
    <w:p w:rsidR="00766089" w:rsidRDefault="00172D16" w:rsidP="00F67EE3">
      <w:pPr>
        <w:pStyle w:val="ListBullet"/>
        <w:spacing w:before="120" w:after="120"/>
        <w:ind w:left="714" w:hanging="357"/>
      </w:pPr>
      <w:r>
        <w:t>n</w:t>
      </w:r>
      <w:r w:rsidR="00766089">
        <w:t>o action to be taken at the present time</w:t>
      </w:r>
    </w:p>
    <w:p w:rsidR="00766089" w:rsidRDefault="00172D16" w:rsidP="00F67EE3">
      <w:pPr>
        <w:pStyle w:val="ListBullet"/>
        <w:spacing w:before="120" w:after="120"/>
        <w:ind w:left="714" w:hanging="357"/>
      </w:pPr>
      <w:r>
        <w:t>c</w:t>
      </w:r>
      <w:r w:rsidR="00766089">
        <w:t>ontinued monitoring of the situation</w:t>
      </w:r>
    </w:p>
    <w:p w:rsidR="00F67EE3" w:rsidRPr="0054728E" w:rsidRDefault="00172D16" w:rsidP="00F67EE3">
      <w:pPr>
        <w:pStyle w:val="ListBullet"/>
        <w:spacing w:before="120" w:after="120"/>
        <w:ind w:left="714" w:hanging="357"/>
      </w:pPr>
      <w:r>
        <w:t>a</w:t>
      </w:r>
      <w:r w:rsidR="00F67EE3" w:rsidRPr="00741F9A">
        <w:t xml:space="preserve"> request for additional information or studies from the sponsor to gain further </w:t>
      </w:r>
      <w:r w:rsidR="00F67EE3" w:rsidRPr="00D86266">
        <w:t>evidence on the issue</w:t>
      </w:r>
    </w:p>
    <w:p w:rsidR="00F67EE3" w:rsidRDefault="00172D16" w:rsidP="00F67EE3">
      <w:pPr>
        <w:pStyle w:val="ListBullet"/>
        <w:spacing w:before="120" w:after="120"/>
        <w:ind w:left="714" w:hanging="357"/>
      </w:pPr>
      <w:r>
        <w:t>a</w:t>
      </w:r>
      <w:r w:rsidR="00F67EE3">
        <w:t xml:space="preserve">n instruction to sponsors to communicate to healthcare professionals (for example a Dear Healthcare Professional letter) </w:t>
      </w:r>
    </w:p>
    <w:p w:rsidR="00F67EE3" w:rsidRDefault="00172D16" w:rsidP="00F67EE3">
      <w:pPr>
        <w:pStyle w:val="ListBullet"/>
        <w:spacing w:before="120" w:after="120"/>
        <w:ind w:left="714" w:hanging="357"/>
      </w:pPr>
      <w:r>
        <w:t>a</w:t>
      </w:r>
      <w:r w:rsidR="00F67EE3" w:rsidRPr="00D86266">
        <w:t xml:space="preserve"> change to the product information</w:t>
      </w:r>
    </w:p>
    <w:p w:rsidR="00172D16" w:rsidRDefault="00172D16" w:rsidP="00172D16">
      <w:pPr>
        <w:pStyle w:val="ListBullet"/>
        <w:spacing w:before="120" w:after="120"/>
        <w:ind w:left="714" w:hanging="357"/>
      </w:pPr>
      <w:r>
        <w:t>suspension of the distribution of the medicine while investigations are ongoing</w:t>
      </w:r>
    </w:p>
    <w:p w:rsidR="00F67EE3" w:rsidRPr="00741F9A" w:rsidRDefault="00172D16" w:rsidP="00F67EE3">
      <w:pPr>
        <w:pStyle w:val="ListBullet"/>
        <w:spacing w:before="120" w:after="120"/>
        <w:ind w:left="714" w:hanging="357"/>
      </w:pPr>
      <w:proofErr w:type="gramStart"/>
      <w:r>
        <w:t>a</w:t>
      </w:r>
      <w:r w:rsidR="00766089">
        <w:t>dvi</w:t>
      </w:r>
      <w:r w:rsidR="004A4A74">
        <w:t>c</w:t>
      </w:r>
      <w:r w:rsidR="00766089">
        <w:t>e</w:t>
      </w:r>
      <w:proofErr w:type="gramEnd"/>
      <w:r w:rsidR="00766089">
        <w:t xml:space="preserve"> to the Minister of Health to </w:t>
      </w:r>
      <w:r w:rsidR="00F67EE3">
        <w:t>revoke consent for the medicine to be distributed.</w:t>
      </w:r>
    </w:p>
    <w:p w:rsidR="00F67EE3" w:rsidRDefault="00F67EE3" w:rsidP="00AB1D93">
      <w:pPr>
        <w:spacing w:line="280" w:lineRule="atLeast"/>
        <w:rPr>
          <w:rFonts w:cs="Arial"/>
          <w:szCs w:val="22"/>
        </w:rPr>
      </w:pPr>
    </w:p>
    <w:p w:rsidR="0017147F" w:rsidRPr="0017147F" w:rsidRDefault="0017147F" w:rsidP="0017147F">
      <w:pPr>
        <w:pStyle w:val="NoHeading2"/>
        <w:keepNext/>
        <w:spacing w:before="120"/>
        <w:ind w:left="1134" w:right="340" w:hanging="1134"/>
        <w:rPr>
          <w:sz w:val="24"/>
          <w:szCs w:val="24"/>
        </w:rPr>
      </w:pPr>
      <w:bookmarkStart w:id="58" w:name="_Toc414346387"/>
      <w:bookmarkStart w:id="59" w:name="_Toc414522776"/>
      <w:r w:rsidRPr="0017147F">
        <w:rPr>
          <w:sz w:val="24"/>
          <w:szCs w:val="24"/>
        </w:rPr>
        <w:t>2.2.1</w:t>
      </w:r>
      <w:r w:rsidRPr="0017147F">
        <w:rPr>
          <w:sz w:val="24"/>
          <w:szCs w:val="24"/>
        </w:rPr>
        <w:tab/>
        <w:t>Statutory Benefit-Risk Review</w:t>
      </w:r>
      <w:bookmarkEnd w:id="58"/>
      <w:bookmarkEnd w:id="59"/>
    </w:p>
    <w:p w:rsidR="0017147F" w:rsidRDefault="0017147F" w:rsidP="00AB1D93">
      <w:pPr>
        <w:spacing w:line="280" w:lineRule="atLeast"/>
        <w:rPr>
          <w:rFonts w:cs="Arial"/>
          <w:szCs w:val="22"/>
        </w:rPr>
      </w:pPr>
    </w:p>
    <w:p w:rsidR="000C409E" w:rsidRPr="00172D16" w:rsidRDefault="0017147F" w:rsidP="0017147F">
      <w:pPr>
        <w:spacing w:line="280" w:lineRule="atLeast"/>
        <w:rPr>
          <w:rFonts w:cs="Arial"/>
          <w:bCs/>
        </w:rPr>
      </w:pPr>
      <w:r w:rsidRPr="00172D16">
        <w:rPr>
          <w:rFonts w:cs="Arial"/>
          <w:bCs/>
        </w:rPr>
        <w:t xml:space="preserve">Section 36 of the Medicines Act 1981 </w:t>
      </w:r>
      <w:r w:rsidR="004A4A74" w:rsidRPr="00172D16">
        <w:rPr>
          <w:rFonts w:cs="Arial"/>
          <w:bCs/>
        </w:rPr>
        <w:t>makes provision</w:t>
      </w:r>
      <w:r w:rsidRPr="00172D16">
        <w:rPr>
          <w:rFonts w:cs="Arial"/>
          <w:bCs/>
        </w:rPr>
        <w:t xml:space="preserve"> for a review of the </w:t>
      </w:r>
      <w:r w:rsidR="002B076A">
        <w:rPr>
          <w:rFonts w:cs="Arial"/>
          <w:bCs/>
        </w:rPr>
        <w:t>safety or efficacy</w:t>
      </w:r>
      <w:r w:rsidRPr="00172D16">
        <w:rPr>
          <w:rFonts w:cs="Arial"/>
          <w:bCs/>
        </w:rPr>
        <w:t xml:space="preserve"> of a medicine. This section of the Act allows the Director-General of Health to require the sponsor to provide evidence to support the safety or efficacy of the product.  </w:t>
      </w:r>
      <w:r w:rsidR="000C409E" w:rsidRPr="00172D16">
        <w:rPr>
          <w:rFonts w:cs="Arial"/>
          <w:bCs/>
        </w:rPr>
        <w:t xml:space="preserve">Outcomes of such a review </w:t>
      </w:r>
      <w:r w:rsidR="002B076A">
        <w:rPr>
          <w:rFonts w:cs="Arial"/>
          <w:bCs/>
        </w:rPr>
        <w:t xml:space="preserve">may </w:t>
      </w:r>
      <w:r w:rsidR="000C409E" w:rsidRPr="00172D16">
        <w:rPr>
          <w:rFonts w:cs="Arial"/>
          <w:bCs/>
        </w:rPr>
        <w:t>include</w:t>
      </w:r>
      <w:r w:rsidR="00172D16" w:rsidRPr="00172D16">
        <w:rPr>
          <w:rFonts w:cs="Arial"/>
          <w:bCs/>
        </w:rPr>
        <w:t xml:space="preserve"> imposing conditions on the supply of the medicine</w:t>
      </w:r>
      <w:r w:rsidR="000C409E" w:rsidRPr="00172D16">
        <w:rPr>
          <w:rFonts w:cs="Arial"/>
          <w:bCs/>
        </w:rPr>
        <w:t xml:space="preserve"> or </w:t>
      </w:r>
      <w:r w:rsidR="00172D16" w:rsidRPr="00172D16">
        <w:rPr>
          <w:rFonts w:cs="Arial"/>
          <w:bCs/>
        </w:rPr>
        <w:t>prohibiting the supply of the medicine</w:t>
      </w:r>
      <w:r w:rsidR="000C409E" w:rsidRPr="00172D16">
        <w:rPr>
          <w:rFonts w:cs="Arial"/>
          <w:bCs/>
        </w:rPr>
        <w:t xml:space="preserve">. </w:t>
      </w:r>
    </w:p>
    <w:p w:rsidR="000C409E" w:rsidRPr="00172D16" w:rsidRDefault="000C409E" w:rsidP="0017147F">
      <w:pPr>
        <w:spacing w:line="280" w:lineRule="atLeast"/>
        <w:rPr>
          <w:rFonts w:cs="Arial"/>
          <w:bCs/>
        </w:rPr>
      </w:pPr>
    </w:p>
    <w:p w:rsidR="001A026C" w:rsidRDefault="000C409E" w:rsidP="0017147F">
      <w:pPr>
        <w:spacing w:line="280" w:lineRule="atLeast"/>
        <w:rPr>
          <w:rFonts w:cs="Arial"/>
          <w:bCs/>
        </w:rPr>
      </w:pPr>
      <w:r w:rsidRPr="00172D16">
        <w:rPr>
          <w:rFonts w:cs="Arial"/>
          <w:bCs/>
        </w:rPr>
        <w:t xml:space="preserve">Sponsors will be informed in writing if such a review is </w:t>
      </w:r>
      <w:r w:rsidR="002B076A">
        <w:rPr>
          <w:rFonts w:cs="Arial"/>
          <w:bCs/>
        </w:rPr>
        <w:t xml:space="preserve">to be </w:t>
      </w:r>
      <w:r w:rsidRPr="00172D16">
        <w:rPr>
          <w:rFonts w:cs="Arial"/>
          <w:bCs/>
        </w:rPr>
        <w:t>conducted</w:t>
      </w:r>
      <w:r w:rsidR="002B076A">
        <w:rPr>
          <w:rFonts w:cs="Arial"/>
          <w:bCs/>
        </w:rPr>
        <w:t xml:space="preserve"> and will be requested</w:t>
      </w:r>
      <w:r w:rsidR="002B076A" w:rsidRPr="002B076A">
        <w:rPr>
          <w:rFonts w:cs="Arial"/>
          <w:bCs/>
        </w:rPr>
        <w:t xml:space="preserve"> </w:t>
      </w:r>
      <w:r w:rsidR="002B076A" w:rsidRPr="00172D16">
        <w:rPr>
          <w:rFonts w:cs="Arial"/>
          <w:bCs/>
        </w:rPr>
        <w:t xml:space="preserve">to provide evidence </w:t>
      </w:r>
      <w:r w:rsidR="002B076A">
        <w:rPr>
          <w:rFonts w:cs="Arial"/>
          <w:bCs/>
        </w:rPr>
        <w:t xml:space="preserve">to support the </w:t>
      </w:r>
      <w:r w:rsidR="002B076A" w:rsidRPr="00172D16">
        <w:rPr>
          <w:rFonts w:cs="Arial"/>
          <w:bCs/>
        </w:rPr>
        <w:t>efficacy or safety</w:t>
      </w:r>
      <w:r w:rsidR="00067D0E">
        <w:rPr>
          <w:rFonts w:cs="Arial"/>
          <w:bCs/>
        </w:rPr>
        <w:t xml:space="preserve"> of their product(s)</w:t>
      </w:r>
      <w:r w:rsidR="002B076A" w:rsidRPr="00172D16">
        <w:rPr>
          <w:rFonts w:cs="Arial"/>
          <w:bCs/>
        </w:rPr>
        <w:t>.</w:t>
      </w:r>
      <w:r w:rsidRPr="00172D16">
        <w:rPr>
          <w:rFonts w:cs="Arial"/>
          <w:bCs/>
        </w:rPr>
        <w:t xml:space="preserve"> Sponsors have 60 days </w:t>
      </w:r>
      <w:r w:rsidR="006C6FFE">
        <w:rPr>
          <w:rFonts w:cs="Arial"/>
          <w:bCs/>
        </w:rPr>
        <w:t xml:space="preserve">to respond before any action is taken. </w:t>
      </w:r>
      <w:r w:rsidRPr="00172D16">
        <w:rPr>
          <w:rFonts w:cs="Arial"/>
          <w:bCs/>
        </w:rPr>
        <w:t>An extension of</w:t>
      </w:r>
      <w:r w:rsidR="000A106A" w:rsidRPr="00172D16">
        <w:rPr>
          <w:rFonts w:cs="Arial"/>
          <w:bCs/>
        </w:rPr>
        <w:t xml:space="preserve"> </w:t>
      </w:r>
      <w:r w:rsidR="006C6FFE">
        <w:rPr>
          <w:rFonts w:cs="Arial"/>
          <w:bCs/>
        </w:rPr>
        <w:t xml:space="preserve">this </w:t>
      </w:r>
      <w:r w:rsidR="000A106A" w:rsidRPr="00172D16">
        <w:rPr>
          <w:rFonts w:cs="Arial"/>
          <w:bCs/>
        </w:rPr>
        <w:t xml:space="preserve">time </w:t>
      </w:r>
      <w:r w:rsidR="006C6FFE">
        <w:rPr>
          <w:rFonts w:cs="Arial"/>
          <w:bCs/>
        </w:rPr>
        <w:t xml:space="preserve">period </w:t>
      </w:r>
      <w:r w:rsidR="000A106A" w:rsidRPr="00172D16">
        <w:rPr>
          <w:rFonts w:cs="Arial"/>
          <w:bCs/>
        </w:rPr>
        <w:t xml:space="preserve">may be allowed </w:t>
      </w:r>
      <w:r w:rsidRPr="00172D16">
        <w:rPr>
          <w:rFonts w:cs="Arial"/>
          <w:bCs/>
        </w:rPr>
        <w:t xml:space="preserve">if sponsors can provide </w:t>
      </w:r>
      <w:r w:rsidR="000A106A" w:rsidRPr="00172D16">
        <w:rPr>
          <w:rFonts w:cs="Arial"/>
          <w:bCs/>
        </w:rPr>
        <w:t>adequate justification.</w:t>
      </w:r>
    </w:p>
    <w:p w:rsidR="001A026C" w:rsidRDefault="001A026C" w:rsidP="0017147F">
      <w:pPr>
        <w:spacing w:line="280" w:lineRule="atLeast"/>
        <w:rPr>
          <w:rFonts w:cs="Arial"/>
          <w:bCs/>
        </w:rPr>
      </w:pPr>
    </w:p>
    <w:p w:rsidR="0017147F" w:rsidRPr="00100D7E" w:rsidRDefault="0017147F" w:rsidP="0017147F">
      <w:pPr>
        <w:spacing w:line="280" w:lineRule="atLeast"/>
        <w:rPr>
          <w:rFonts w:cs="Arial"/>
          <w:bCs/>
        </w:rPr>
      </w:pPr>
      <w:r w:rsidRPr="00100D7E">
        <w:rPr>
          <w:rFonts w:cs="Arial"/>
          <w:bCs/>
        </w:rPr>
        <w:t>Sponsors requiring more information in the event of such a review should contact Medsafe.</w:t>
      </w:r>
    </w:p>
    <w:p w:rsidR="0017147F" w:rsidRDefault="0017147F" w:rsidP="00AB1D93">
      <w:pPr>
        <w:spacing w:line="280" w:lineRule="atLeast"/>
        <w:rPr>
          <w:rFonts w:cs="Arial"/>
          <w:szCs w:val="22"/>
        </w:rPr>
      </w:pPr>
    </w:p>
    <w:p w:rsidR="00F97E9C" w:rsidRDefault="00F97E9C" w:rsidP="00AB1D93">
      <w:pPr>
        <w:spacing w:line="280" w:lineRule="atLeast"/>
        <w:rPr>
          <w:rFonts w:cs="Arial"/>
          <w:szCs w:val="22"/>
        </w:rPr>
      </w:pPr>
    </w:p>
    <w:p w:rsidR="00F97E9C" w:rsidRPr="00B46DB4" w:rsidRDefault="00F97E9C" w:rsidP="00F97E9C">
      <w:pPr>
        <w:pStyle w:val="NoHeading2"/>
        <w:keepNext/>
        <w:spacing w:before="120"/>
        <w:ind w:right="340"/>
      </w:pPr>
      <w:bookmarkStart w:id="60" w:name="_Toc414346388"/>
      <w:bookmarkStart w:id="61" w:name="_Toc414522777"/>
      <w:r w:rsidRPr="00B46DB4">
        <w:t>2.</w:t>
      </w:r>
      <w:r w:rsidR="00DA3AD8">
        <w:t>3</w:t>
      </w:r>
      <w:r w:rsidRPr="00B46DB4">
        <w:tab/>
        <w:t>Medicines Adverse Reaction</w:t>
      </w:r>
      <w:r w:rsidR="002D2771">
        <w:t>s</w:t>
      </w:r>
      <w:r w:rsidRPr="00B46DB4">
        <w:t xml:space="preserve"> Committee</w:t>
      </w:r>
      <w:bookmarkEnd w:id="60"/>
      <w:bookmarkEnd w:id="61"/>
    </w:p>
    <w:p w:rsidR="00F97E9C" w:rsidRDefault="00F97E9C" w:rsidP="00F97E9C"/>
    <w:p w:rsidR="00F97E9C" w:rsidRPr="00100D7E" w:rsidRDefault="00F97E9C" w:rsidP="00F97E9C">
      <w:pPr>
        <w:spacing w:line="280" w:lineRule="atLeast"/>
        <w:rPr>
          <w:rFonts w:cs="Arial"/>
        </w:rPr>
      </w:pPr>
      <w:r w:rsidRPr="00100D7E">
        <w:rPr>
          <w:rFonts w:cs="Arial"/>
        </w:rPr>
        <w:t>The Medicines Adverse Reactions Committee (MARC) is a technical advisory committee established under section 8 of the Medicines Act 1981 to advise the Minister of Health on the safety of approved medicines.</w:t>
      </w:r>
      <w:r>
        <w:rPr>
          <w:rFonts w:cs="Arial"/>
        </w:rPr>
        <w:t xml:space="preserve"> </w:t>
      </w:r>
      <w:r w:rsidRPr="00E26C45">
        <w:rPr>
          <w:rFonts w:cs="Arial"/>
        </w:rPr>
        <w:t>The MARC provides expert advice on medicines</w:t>
      </w:r>
      <w:r w:rsidR="006037C4">
        <w:rPr>
          <w:rFonts w:cs="Arial"/>
        </w:rPr>
        <w:t>’</w:t>
      </w:r>
      <w:r w:rsidRPr="00E26C45">
        <w:rPr>
          <w:rFonts w:cs="Arial"/>
        </w:rPr>
        <w:t xml:space="preserve"> safety issues </w:t>
      </w:r>
      <w:r w:rsidR="006C6FFE">
        <w:rPr>
          <w:rFonts w:cs="Arial"/>
        </w:rPr>
        <w:t xml:space="preserve">referred </w:t>
      </w:r>
      <w:r w:rsidRPr="00E26C45">
        <w:rPr>
          <w:rFonts w:cs="Arial"/>
        </w:rPr>
        <w:t xml:space="preserve">by Medsafe. Based on </w:t>
      </w:r>
      <w:r w:rsidR="006C6FFE">
        <w:rPr>
          <w:rFonts w:cs="Arial"/>
        </w:rPr>
        <w:t xml:space="preserve">review of </w:t>
      </w:r>
      <w:r w:rsidRPr="00E26C45">
        <w:rPr>
          <w:rFonts w:cs="Arial"/>
        </w:rPr>
        <w:t xml:space="preserve">these </w:t>
      </w:r>
      <w:r w:rsidR="006C6FFE">
        <w:rPr>
          <w:rFonts w:cs="Arial"/>
        </w:rPr>
        <w:t>safety issue</w:t>
      </w:r>
      <w:r w:rsidRPr="00E26C45">
        <w:rPr>
          <w:rFonts w:cs="Arial"/>
        </w:rPr>
        <w:t xml:space="preserve">s, the MARC may </w:t>
      </w:r>
      <w:r w:rsidR="004715DF">
        <w:rPr>
          <w:rFonts w:cs="Arial"/>
        </w:rPr>
        <w:t xml:space="preserve">make </w:t>
      </w:r>
      <w:r w:rsidRPr="00E26C45">
        <w:rPr>
          <w:rFonts w:cs="Arial"/>
        </w:rPr>
        <w:t>recommend</w:t>
      </w:r>
      <w:r w:rsidR="004715DF">
        <w:rPr>
          <w:rFonts w:cs="Arial"/>
        </w:rPr>
        <w:t>ations</w:t>
      </w:r>
      <w:r w:rsidRPr="00E26C45">
        <w:rPr>
          <w:rFonts w:cs="Arial"/>
        </w:rPr>
        <w:t xml:space="preserve"> to </w:t>
      </w:r>
      <w:r w:rsidR="006C6FFE">
        <w:rPr>
          <w:rFonts w:cs="Arial"/>
        </w:rPr>
        <w:t xml:space="preserve">manage any risk of harm associated with the medicine and </w:t>
      </w:r>
      <w:r w:rsidRPr="00E26C45">
        <w:rPr>
          <w:rFonts w:cs="Arial"/>
        </w:rPr>
        <w:t>improve the risk-benefit profiles of medicines.</w:t>
      </w:r>
    </w:p>
    <w:p w:rsidR="00F97E9C" w:rsidRDefault="00F97E9C" w:rsidP="00F97E9C">
      <w:pPr>
        <w:spacing w:line="280" w:lineRule="atLeast"/>
        <w:rPr>
          <w:rFonts w:cs="Arial"/>
        </w:rPr>
      </w:pPr>
    </w:p>
    <w:p w:rsidR="00734DC4" w:rsidRDefault="00734DC4" w:rsidP="00F97E9C">
      <w:pPr>
        <w:spacing w:line="280" w:lineRule="atLeast"/>
        <w:rPr>
          <w:rFonts w:cs="Arial"/>
        </w:rPr>
      </w:pPr>
      <w:r>
        <w:rPr>
          <w:rFonts w:cs="Arial"/>
        </w:rPr>
        <w:t xml:space="preserve">The Chair and other members of the Committee are drawn from experts in various fields of clinical medicine, </w:t>
      </w:r>
      <w:r w:rsidR="00F57751">
        <w:rPr>
          <w:rFonts w:cs="Arial"/>
        </w:rPr>
        <w:t xml:space="preserve">clinical pharmacology, </w:t>
      </w:r>
      <w:r>
        <w:rPr>
          <w:rFonts w:cs="Arial"/>
        </w:rPr>
        <w:t xml:space="preserve">pharmacy, </w:t>
      </w:r>
      <w:proofErr w:type="spellStart"/>
      <w:r>
        <w:rPr>
          <w:rFonts w:cs="Arial"/>
        </w:rPr>
        <w:t>pharmacovigilance</w:t>
      </w:r>
      <w:proofErr w:type="spellEnd"/>
      <w:r>
        <w:rPr>
          <w:rFonts w:cs="Arial"/>
        </w:rPr>
        <w:t>, epidemiology</w:t>
      </w:r>
      <w:r w:rsidR="00F57751">
        <w:rPr>
          <w:rFonts w:cs="Arial"/>
        </w:rPr>
        <w:t xml:space="preserve"> and other medical specialities such as cardiology</w:t>
      </w:r>
      <w:r>
        <w:rPr>
          <w:rFonts w:cs="Arial"/>
        </w:rPr>
        <w:t>, biostatistics, and medicines regulation. The Committee also holds a position for a lay person (non-healthcare professional) to represent consumer interests.</w:t>
      </w:r>
    </w:p>
    <w:p w:rsidR="00F97E9C" w:rsidRPr="0005336D" w:rsidRDefault="00F97E9C" w:rsidP="00F97E9C">
      <w:pPr>
        <w:spacing w:line="280" w:lineRule="atLeast"/>
        <w:rPr>
          <w:rFonts w:cs="Arial"/>
          <w:szCs w:val="22"/>
        </w:rPr>
      </w:pPr>
    </w:p>
    <w:p w:rsidR="00F97E9C" w:rsidRDefault="00F97E9C" w:rsidP="00F97E9C">
      <w:pPr>
        <w:spacing w:line="280" w:lineRule="atLeast"/>
        <w:rPr>
          <w:rFonts w:cs="Arial"/>
          <w:szCs w:val="22"/>
        </w:rPr>
      </w:pPr>
      <w:r w:rsidRPr="0005336D">
        <w:rPr>
          <w:rFonts w:cs="Arial"/>
          <w:szCs w:val="22"/>
        </w:rPr>
        <w:t>Members are appointed for a three year term, which may be renewed once for a further three years.</w:t>
      </w:r>
      <w:r>
        <w:rPr>
          <w:rFonts w:cs="Arial"/>
          <w:szCs w:val="22"/>
        </w:rPr>
        <w:t xml:space="preserve"> </w:t>
      </w:r>
    </w:p>
    <w:p w:rsidR="00F97E9C" w:rsidRPr="0005336D" w:rsidRDefault="00F97E9C" w:rsidP="00F97E9C">
      <w:pPr>
        <w:spacing w:line="280" w:lineRule="atLeast"/>
        <w:rPr>
          <w:rFonts w:cs="Arial"/>
          <w:szCs w:val="22"/>
        </w:rPr>
      </w:pPr>
    </w:p>
    <w:p w:rsidR="00C250C6" w:rsidRDefault="00F97E9C" w:rsidP="00F97E9C">
      <w:pPr>
        <w:spacing w:line="280" w:lineRule="atLeast"/>
        <w:rPr>
          <w:rFonts w:cs="Arial"/>
          <w:szCs w:val="22"/>
        </w:rPr>
      </w:pPr>
      <w:r w:rsidRPr="0005336D">
        <w:rPr>
          <w:rFonts w:cs="Arial"/>
          <w:szCs w:val="22"/>
        </w:rPr>
        <w:t>The MARC meets four times a year. Secretarial support is provided by Medsafe.</w:t>
      </w:r>
      <w:r w:rsidR="004A4A74">
        <w:rPr>
          <w:rFonts w:cs="Arial"/>
          <w:szCs w:val="22"/>
        </w:rPr>
        <w:t xml:space="preserve"> Minutes of the meetings are published on the Medsafe website</w:t>
      </w:r>
      <w:r w:rsidR="004715DF">
        <w:rPr>
          <w:rFonts w:cs="Arial"/>
          <w:szCs w:val="22"/>
        </w:rPr>
        <w:t xml:space="preserve"> (</w:t>
      </w:r>
      <w:hyperlink r:id="rId26" w:history="1">
        <w:r w:rsidR="004715DF" w:rsidRPr="00640754">
          <w:rPr>
            <w:rStyle w:val="Hyperlink"/>
            <w:rFonts w:cs="Arial"/>
            <w:sz w:val="22"/>
            <w:szCs w:val="22"/>
          </w:rPr>
          <w:t>www.medsafe.govt.nz/profs/MARC/Minutes.asp</w:t>
        </w:r>
      </w:hyperlink>
      <w:r w:rsidR="004715DF">
        <w:rPr>
          <w:rFonts w:cs="Arial"/>
          <w:szCs w:val="22"/>
        </w:rPr>
        <w:t>)</w:t>
      </w:r>
      <w:r w:rsidR="00F57751">
        <w:rPr>
          <w:rFonts w:cs="Arial"/>
          <w:szCs w:val="22"/>
        </w:rPr>
        <w:t>.</w:t>
      </w:r>
    </w:p>
    <w:p w:rsidR="00F97E9C" w:rsidRPr="0005336D" w:rsidRDefault="00F97E9C" w:rsidP="00F97E9C">
      <w:pPr>
        <w:spacing w:line="280" w:lineRule="atLeast"/>
        <w:rPr>
          <w:rFonts w:cs="Arial"/>
          <w:szCs w:val="22"/>
        </w:rPr>
      </w:pPr>
    </w:p>
    <w:p w:rsidR="004A4A74" w:rsidRDefault="004A4A74" w:rsidP="004A4A74">
      <w:r>
        <w:rPr>
          <w:rFonts w:cs="Arial"/>
          <w:szCs w:val="22"/>
        </w:rPr>
        <w:t>F</w:t>
      </w:r>
      <w:r w:rsidR="00F97E9C" w:rsidRPr="0005336D">
        <w:rPr>
          <w:rFonts w:cs="Arial"/>
          <w:szCs w:val="22"/>
        </w:rPr>
        <w:t>urther information about the MARC</w:t>
      </w:r>
      <w:r>
        <w:rPr>
          <w:rFonts w:cs="Arial"/>
          <w:szCs w:val="22"/>
        </w:rPr>
        <w:t xml:space="preserve"> is available on the </w:t>
      </w:r>
      <w:r w:rsidRPr="004715DF">
        <w:rPr>
          <w:rFonts w:cs="Arial"/>
          <w:szCs w:val="22"/>
        </w:rPr>
        <w:t>Medsafe website</w:t>
      </w:r>
      <w:r w:rsidR="004715DF">
        <w:rPr>
          <w:rFonts w:cs="Arial"/>
          <w:szCs w:val="22"/>
        </w:rPr>
        <w:t xml:space="preserve"> (</w:t>
      </w:r>
      <w:hyperlink r:id="rId27" w:history="1">
        <w:r w:rsidRPr="006E426E">
          <w:rPr>
            <w:rStyle w:val="Hyperlink"/>
            <w:sz w:val="22"/>
          </w:rPr>
          <w:t>medsafe.govt.nz/committees/marc.asp</w:t>
        </w:r>
      </w:hyperlink>
      <w:r w:rsidR="004715DF">
        <w:t>)</w:t>
      </w:r>
      <w:r w:rsidR="00F57751">
        <w:t>.</w:t>
      </w:r>
    </w:p>
    <w:p w:rsidR="004A4A74" w:rsidRDefault="004A4A74" w:rsidP="004A4A74"/>
    <w:p w:rsidR="00DA3AD8" w:rsidRDefault="00DA3AD8" w:rsidP="00AB1D93">
      <w:pPr>
        <w:spacing w:line="280" w:lineRule="atLeast"/>
        <w:rPr>
          <w:rFonts w:cs="Arial"/>
          <w:szCs w:val="22"/>
        </w:rPr>
      </w:pPr>
    </w:p>
    <w:p w:rsidR="002D2771" w:rsidRDefault="002D2771" w:rsidP="00AB1D93">
      <w:pPr>
        <w:spacing w:line="280" w:lineRule="atLeast"/>
        <w:rPr>
          <w:rFonts w:cs="Arial"/>
          <w:szCs w:val="22"/>
        </w:rPr>
      </w:pPr>
    </w:p>
    <w:p w:rsidR="002D2771" w:rsidRDefault="002D2771" w:rsidP="00AB1D93">
      <w:pPr>
        <w:spacing w:line="280" w:lineRule="atLeast"/>
        <w:rPr>
          <w:rFonts w:cs="Arial"/>
          <w:szCs w:val="22"/>
        </w:rPr>
      </w:pPr>
    </w:p>
    <w:p w:rsidR="00DA3AD8" w:rsidRPr="00B46DB4" w:rsidRDefault="00DA3AD8" w:rsidP="00DA3AD8">
      <w:pPr>
        <w:pStyle w:val="NoHeading2"/>
        <w:keepNext/>
        <w:spacing w:before="120"/>
        <w:ind w:right="340"/>
      </w:pPr>
      <w:bookmarkStart w:id="62" w:name="_Toc414346389"/>
      <w:bookmarkStart w:id="63" w:name="_Toc414522778"/>
      <w:r w:rsidRPr="00B46DB4">
        <w:t>2.4</w:t>
      </w:r>
      <w:r w:rsidRPr="00B46DB4">
        <w:tab/>
      </w:r>
      <w:proofErr w:type="gramStart"/>
      <w:r w:rsidRPr="00B46DB4">
        <w:t>Centre</w:t>
      </w:r>
      <w:proofErr w:type="gramEnd"/>
      <w:r w:rsidRPr="00B46DB4">
        <w:t xml:space="preserve"> for Adverse Reactions Monitoring</w:t>
      </w:r>
      <w:bookmarkEnd w:id="62"/>
      <w:bookmarkEnd w:id="63"/>
    </w:p>
    <w:p w:rsidR="00DA3AD8" w:rsidRDefault="00DA3AD8" w:rsidP="00DA3AD8"/>
    <w:p w:rsidR="004715DF" w:rsidRDefault="00DA3AD8" w:rsidP="00DA3AD8">
      <w:r>
        <w:t xml:space="preserve">The Centre for Adverse Reactions Monitoring (CARM) is contracted by the Ministry of Health to collect, </w:t>
      </w:r>
      <w:proofErr w:type="gramStart"/>
      <w:r>
        <w:t>collate</w:t>
      </w:r>
      <w:proofErr w:type="gramEnd"/>
      <w:r>
        <w:t xml:space="preserve"> and analyse adverse </w:t>
      </w:r>
      <w:r w:rsidR="006C6FFE">
        <w:t>medicine</w:t>
      </w:r>
      <w:r>
        <w:t xml:space="preserve"> reaction reports for Medsafe. Each </w:t>
      </w:r>
      <w:r w:rsidRPr="006660B0">
        <w:t xml:space="preserve">report </w:t>
      </w:r>
      <w:r w:rsidR="004715DF">
        <w:t>submitted to</w:t>
      </w:r>
      <w:r w:rsidRPr="006660B0">
        <w:t xml:space="preserve"> CARM is evaluated by a medical assessor </w:t>
      </w:r>
      <w:r w:rsidR="004715DF">
        <w:t xml:space="preserve">who </w:t>
      </w:r>
      <w:r w:rsidRPr="006660B0">
        <w:t>determine</w:t>
      </w:r>
      <w:r w:rsidR="004715DF">
        <w:t>s</w:t>
      </w:r>
      <w:r w:rsidRPr="006660B0">
        <w:t xml:space="preserve"> the extent of </w:t>
      </w:r>
      <w:r w:rsidR="004715DF">
        <w:t>the</w:t>
      </w:r>
      <w:r w:rsidRPr="006660B0">
        <w:t xml:space="preserve"> association between the adverse reaction(s) described and the medicine(s) involved.</w:t>
      </w:r>
      <w:r w:rsidR="00D5714E">
        <w:t xml:space="preserve"> </w:t>
      </w:r>
    </w:p>
    <w:p w:rsidR="004715DF" w:rsidRDefault="004715DF" w:rsidP="00DA3AD8"/>
    <w:p w:rsidR="00D5714E" w:rsidRDefault="00D5714E" w:rsidP="00DA3AD8">
      <w:r>
        <w:t>CARM uses the W</w:t>
      </w:r>
      <w:r w:rsidR="004715DF">
        <w:t xml:space="preserve">orld </w:t>
      </w:r>
      <w:r>
        <w:t>H</w:t>
      </w:r>
      <w:r w:rsidR="004715DF">
        <w:t xml:space="preserve">ealth </w:t>
      </w:r>
      <w:r>
        <w:t>O</w:t>
      </w:r>
      <w:r w:rsidR="004715DF">
        <w:t>rganization (WHO)</w:t>
      </w:r>
      <w:r>
        <w:t xml:space="preserve"> causality assessment criteria</w:t>
      </w:r>
      <w:r w:rsidR="006C6FFE">
        <w:t xml:space="preserve"> for this evaluation</w:t>
      </w:r>
      <w:r>
        <w:t>.</w:t>
      </w:r>
      <w:r w:rsidR="00DA3AD8">
        <w:t xml:space="preserve"> Routine summary reports of adverse reactions and any individual report or clusters of reports that highlight an issue of concern are provided to Medsafe and the MARC.</w:t>
      </w:r>
      <w:r>
        <w:t xml:space="preserve"> CARM provides the MARC with a quarterly review of adverse reactions reported in New Zealand.</w:t>
      </w:r>
    </w:p>
    <w:p w:rsidR="00D5714E" w:rsidRDefault="00D5714E" w:rsidP="00DA3AD8"/>
    <w:p w:rsidR="00DA3AD8" w:rsidRDefault="00DA3AD8" w:rsidP="00DA3AD8">
      <w:r>
        <w:t xml:space="preserve">CARM also collaborates with the </w:t>
      </w:r>
      <w:r w:rsidR="004715DF">
        <w:t>WHO</w:t>
      </w:r>
      <w:r w:rsidRPr="006660B0">
        <w:t xml:space="preserve"> International Drug Monitoring Programme based in Uppsala, Sweden</w:t>
      </w:r>
      <w:r>
        <w:t>.</w:t>
      </w:r>
    </w:p>
    <w:p w:rsidR="00DA3AD8" w:rsidRDefault="00DA3AD8" w:rsidP="00DA3AD8">
      <w:pPr>
        <w:spacing w:line="280" w:lineRule="atLeast"/>
        <w:rPr>
          <w:rFonts w:cs="Arial"/>
          <w:szCs w:val="22"/>
        </w:rPr>
      </w:pPr>
    </w:p>
    <w:p w:rsidR="00E03972" w:rsidRDefault="00E03972" w:rsidP="00DA3AD8">
      <w:pPr>
        <w:spacing w:line="280" w:lineRule="atLeast"/>
        <w:rPr>
          <w:rFonts w:cs="Arial"/>
          <w:szCs w:val="22"/>
        </w:rPr>
      </w:pPr>
      <w:r>
        <w:rPr>
          <w:rFonts w:cs="Arial"/>
          <w:szCs w:val="22"/>
        </w:rPr>
        <w:t>CARM can be contacted at:</w:t>
      </w:r>
    </w:p>
    <w:p w:rsidR="00E03972" w:rsidRDefault="00E03972" w:rsidP="00DA3AD8">
      <w:pPr>
        <w:spacing w:line="280" w:lineRule="atLeast"/>
        <w:rPr>
          <w:rFonts w:cs="Arial"/>
          <w:szCs w:val="22"/>
        </w:rPr>
      </w:pPr>
    </w:p>
    <w:p w:rsidR="00E03972" w:rsidRDefault="00E03972" w:rsidP="00E03972">
      <w:pPr>
        <w:tabs>
          <w:tab w:val="left" w:pos="1418"/>
        </w:tabs>
        <w:rPr>
          <w:rFonts w:cs="Arial"/>
          <w:szCs w:val="22"/>
        </w:rPr>
      </w:pPr>
      <w:r>
        <w:rPr>
          <w:rFonts w:cs="Arial"/>
          <w:szCs w:val="22"/>
        </w:rPr>
        <w:t>P</w:t>
      </w:r>
      <w:r w:rsidR="004715DF">
        <w:rPr>
          <w:rFonts w:cs="Arial"/>
          <w:szCs w:val="22"/>
        </w:rPr>
        <w:t>ost</w:t>
      </w:r>
      <w:r>
        <w:rPr>
          <w:rFonts w:cs="Arial"/>
          <w:szCs w:val="22"/>
        </w:rPr>
        <w:tab/>
      </w:r>
      <w:r>
        <w:rPr>
          <w:rFonts w:cs="Arial"/>
          <w:szCs w:val="22"/>
        </w:rPr>
        <w:tab/>
        <w:t>Freepost 112002</w:t>
      </w:r>
    </w:p>
    <w:p w:rsidR="00E03972" w:rsidRDefault="00E03972" w:rsidP="00E03972">
      <w:pPr>
        <w:tabs>
          <w:tab w:val="left" w:pos="1418"/>
        </w:tabs>
        <w:rPr>
          <w:rFonts w:cs="Arial"/>
          <w:szCs w:val="22"/>
        </w:rPr>
      </w:pPr>
      <w:r>
        <w:rPr>
          <w:rFonts w:cs="Arial"/>
          <w:szCs w:val="22"/>
        </w:rPr>
        <w:tab/>
      </w:r>
      <w:r>
        <w:rPr>
          <w:rFonts w:cs="Arial"/>
          <w:szCs w:val="22"/>
        </w:rPr>
        <w:tab/>
        <w:t>The Medical Assessor</w:t>
      </w:r>
    </w:p>
    <w:p w:rsidR="00E03972" w:rsidRDefault="00E03972" w:rsidP="00E03972">
      <w:pPr>
        <w:tabs>
          <w:tab w:val="left" w:pos="1418"/>
        </w:tabs>
        <w:rPr>
          <w:rFonts w:cs="Arial"/>
          <w:szCs w:val="22"/>
        </w:rPr>
      </w:pPr>
      <w:r>
        <w:rPr>
          <w:rFonts w:cs="Arial"/>
          <w:szCs w:val="22"/>
        </w:rPr>
        <w:tab/>
      </w:r>
      <w:r>
        <w:rPr>
          <w:rFonts w:cs="Arial"/>
          <w:szCs w:val="22"/>
        </w:rPr>
        <w:tab/>
        <w:t>CARM</w:t>
      </w:r>
    </w:p>
    <w:p w:rsidR="00E03972" w:rsidRDefault="00E03972" w:rsidP="00E03972">
      <w:pPr>
        <w:tabs>
          <w:tab w:val="left" w:pos="1418"/>
        </w:tabs>
        <w:rPr>
          <w:rFonts w:cs="Arial"/>
          <w:szCs w:val="22"/>
        </w:rPr>
      </w:pPr>
      <w:r>
        <w:rPr>
          <w:rFonts w:cs="Arial"/>
          <w:szCs w:val="22"/>
        </w:rPr>
        <w:tab/>
      </w:r>
      <w:r>
        <w:rPr>
          <w:rFonts w:cs="Arial"/>
          <w:szCs w:val="22"/>
        </w:rPr>
        <w:tab/>
        <w:t>PO Box 913</w:t>
      </w:r>
    </w:p>
    <w:p w:rsidR="00E03972" w:rsidRDefault="00E03972" w:rsidP="00E03972">
      <w:pPr>
        <w:tabs>
          <w:tab w:val="left" w:pos="1418"/>
        </w:tabs>
        <w:rPr>
          <w:rFonts w:cs="Arial"/>
          <w:szCs w:val="22"/>
        </w:rPr>
      </w:pPr>
      <w:r>
        <w:rPr>
          <w:rFonts w:cs="Arial"/>
          <w:szCs w:val="22"/>
        </w:rPr>
        <w:tab/>
      </w:r>
      <w:r>
        <w:rPr>
          <w:rFonts w:cs="Arial"/>
          <w:szCs w:val="22"/>
        </w:rPr>
        <w:tab/>
        <w:t>Dunedin</w:t>
      </w:r>
    </w:p>
    <w:p w:rsidR="00E03972" w:rsidRDefault="00E03972" w:rsidP="00E03972">
      <w:pPr>
        <w:tabs>
          <w:tab w:val="left" w:pos="1418"/>
        </w:tabs>
        <w:rPr>
          <w:rFonts w:cs="Arial"/>
          <w:szCs w:val="22"/>
        </w:rPr>
      </w:pPr>
    </w:p>
    <w:p w:rsidR="00E03972" w:rsidRDefault="00E03972" w:rsidP="00E03972">
      <w:pPr>
        <w:tabs>
          <w:tab w:val="left" w:pos="1418"/>
        </w:tabs>
        <w:spacing w:after="120"/>
        <w:rPr>
          <w:rFonts w:cs="Arial"/>
          <w:szCs w:val="22"/>
        </w:rPr>
      </w:pPr>
      <w:r>
        <w:rPr>
          <w:rFonts w:cs="Arial"/>
          <w:szCs w:val="22"/>
        </w:rPr>
        <w:t>F</w:t>
      </w:r>
      <w:r w:rsidR="004715DF">
        <w:rPr>
          <w:rFonts w:cs="Arial"/>
          <w:szCs w:val="22"/>
        </w:rPr>
        <w:t>ax</w:t>
      </w:r>
      <w:r>
        <w:rPr>
          <w:rFonts w:cs="Arial"/>
          <w:szCs w:val="22"/>
        </w:rPr>
        <w:tab/>
      </w:r>
      <w:r>
        <w:rPr>
          <w:rFonts w:cs="Arial"/>
          <w:szCs w:val="22"/>
        </w:rPr>
        <w:tab/>
        <w:t>+ 64 (03) 479 7150</w:t>
      </w:r>
    </w:p>
    <w:p w:rsidR="004715DF" w:rsidRDefault="004715DF" w:rsidP="00E03972">
      <w:pPr>
        <w:tabs>
          <w:tab w:val="left" w:pos="1418"/>
        </w:tabs>
        <w:spacing w:after="120"/>
        <w:rPr>
          <w:rFonts w:cs="Arial"/>
          <w:szCs w:val="22"/>
        </w:rPr>
      </w:pPr>
      <w:r>
        <w:rPr>
          <w:rFonts w:cs="Arial"/>
          <w:szCs w:val="22"/>
        </w:rPr>
        <w:t>Telephone</w:t>
      </w:r>
      <w:r>
        <w:rPr>
          <w:rFonts w:cs="Arial"/>
          <w:szCs w:val="22"/>
        </w:rPr>
        <w:tab/>
        <w:t>+ 64 (03) 479 7247</w:t>
      </w:r>
      <w:r>
        <w:rPr>
          <w:rFonts w:cs="Arial"/>
          <w:szCs w:val="22"/>
        </w:rPr>
        <w:tab/>
      </w:r>
    </w:p>
    <w:p w:rsidR="00E03972" w:rsidRDefault="00E03972" w:rsidP="00E03972">
      <w:pPr>
        <w:tabs>
          <w:tab w:val="left" w:pos="1418"/>
        </w:tabs>
        <w:spacing w:after="120"/>
        <w:rPr>
          <w:rFonts w:cs="Arial"/>
          <w:szCs w:val="22"/>
        </w:rPr>
      </w:pPr>
      <w:r>
        <w:rPr>
          <w:rFonts w:cs="Arial"/>
          <w:szCs w:val="22"/>
        </w:rPr>
        <w:t>Email</w:t>
      </w:r>
      <w:r>
        <w:rPr>
          <w:rFonts w:cs="Arial"/>
          <w:szCs w:val="22"/>
        </w:rPr>
        <w:tab/>
      </w:r>
      <w:r>
        <w:rPr>
          <w:rFonts w:cs="Arial"/>
          <w:szCs w:val="22"/>
        </w:rPr>
        <w:tab/>
      </w:r>
      <w:hyperlink r:id="rId28" w:history="1">
        <w:r w:rsidRPr="00C7572F">
          <w:rPr>
            <w:rStyle w:val="Hyperlink"/>
            <w:rFonts w:cs="Arial"/>
            <w:sz w:val="22"/>
            <w:szCs w:val="22"/>
          </w:rPr>
          <w:t>carmnz@otago.ac.nz</w:t>
        </w:r>
      </w:hyperlink>
    </w:p>
    <w:p w:rsidR="00E03972" w:rsidRDefault="00E03972" w:rsidP="00DA3AD8">
      <w:pPr>
        <w:spacing w:line="280" w:lineRule="atLeast"/>
        <w:rPr>
          <w:rFonts w:cs="Arial"/>
          <w:szCs w:val="22"/>
        </w:rPr>
      </w:pPr>
    </w:p>
    <w:p w:rsidR="00F97E9C" w:rsidRDefault="004A4A74" w:rsidP="00AB1D93">
      <w:pPr>
        <w:spacing w:line="280" w:lineRule="atLeast"/>
        <w:rPr>
          <w:rFonts w:cs="Arial"/>
          <w:szCs w:val="22"/>
        </w:rPr>
      </w:pPr>
      <w:r>
        <w:rPr>
          <w:rFonts w:cs="Arial"/>
          <w:szCs w:val="22"/>
        </w:rPr>
        <w:t xml:space="preserve">Further information about CARM is available on </w:t>
      </w:r>
      <w:r w:rsidR="004715DF" w:rsidRPr="004715DF">
        <w:rPr>
          <w:rFonts w:cs="Arial"/>
          <w:szCs w:val="22"/>
        </w:rPr>
        <w:t>CARM’s website</w:t>
      </w:r>
      <w:r w:rsidR="004715DF">
        <w:rPr>
          <w:rFonts w:cs="Arial"/>
          <w:szCs w:val="22"/>
        </w:rPr>
        <w:t xml:space="preserve"> (</w:t>
      </w:r>
      <w:hyperlink r:id="rId29" w:history="1">
        <w:r w:rsidR="004779C7" w:rsidRPr="004779C7">
          <w:rPr>
            <w:rStyle w:val="Hyperlink"/>
            <w:rFonts w:cs="Arial"/>
            <w:sz w:val="22"/>
            <w:szCs w:val="22"/>
          </w:rPr>
          <w:t>www.otago.ac.nz/carm</w:t>
        </w:r>
      </w:hyperlink>
      <w:r w:rsidR="004715DF">
        <w:rPr>
          <w:rFonts w:cs="Arial"/>
          <w:szCs w:val="22"/>
        </w:rPr>
        <w:t>).</w:t>
      </w:r>
    </w:p>
    <w:p w:rsidR="004A4A74" w:rsidRDefault="004A4A74" w:rsidP="00AB1D93">
      <w:pPr>
        <w:spacing w:line="280" w:lineRule="atLeast"/>
        <w:rPr>
          <w:rFonts w:cs="Arial"/>
          <w:szCs w:val="22"/>
        </w:rPr>
      </w:pPr>
    </w:p>
    <w:p w:rsidR="00481A9A" w:rsidRDefault="00481A9A" w:rsidP="00AB1D93">
      <w:pPr>
        <w:spacing w:line="280" w:lineRule="atLeast"/>
        <w:rPr>
          <w:rFonts w:cs="Arial"/>
          <w:szCs w:val="22"/>
        </w:rPr>
      </w:pPr>
    </w:p>
    <w:p w:rsidR="00AB1D93" w:rsidRDefault="000D2E54" w:rsidP="00D51F65">
      <w:pPr>
        <w:pStyle w:val="NoHeading2"/>
        <w:keepNext/>
        <w:spacing w:before="120"/>
        <w:ind w:right="340"/>
      </w:pPr>
      <w:bookmarkStart w:id="64" w:name="_Toc414346390"/>
      <w:bookmarkStart w:id="65" w:name="_Toc414522779"/>
      <w:r>
        <w:t>2</w:t>
      </w:r>
      <w:r w:rsidR="006C2439">
        <w:t>.</w:t>
      </w:r>
      <w:r w:rsidR="0017147F">
        <w:t>5</w:t>
      </w:r>
      <w:r w:rsidR="006553EC">
        <w:tab/>
      </w:r>
      <w:r w:rsidR="00AB1D93" w:rsidRPr="00D9628E">
        <w:t>Sponsor</w:t>
      </w:r>
      <w:r w:rsidR="0087763E">
        <w:t>s</w:t>
      </w:r>
      <w:bookmarkEnd w:id="64"/>
      <w:bookmarkEnd w:id="65"/>
      <w:r w:rsidR="00AB1D93" w:rsidRPr="00D9628E">
        <w:t xml:space="preserve"> </w:t>
      </w:r>
    </w:p>
    <w:p w:rsidR="00C84B11" w:rsidRDefault="00C84B11" w:rsidP="00C31EEF">
      <w:pPr>
        <w:rPr>
          <w:rFonts w:cs="Arial"/>
          <w:szCs w:val="22"/>
        </w:rPr>
      </w:pPr>
    </w:p>
    <w:p w:rsidR="00E525DD" w:rsidRDefault="00C84B11" w:rsidP="00C428AB">
      <w:pPr>
        <w:spacing w:line="280" w:lineRule="atLeast"/>
        <w:rPr>
          <w:rFonts w:cs="Arial"/>
          <w:szCs w:val="22"/>
        </w:rPr>
      </w:pPr>
      <w:r>
        <w:rPr>
          <w:rFonts w:cs="Arial"/>
          <w:szCs w:val="22"/>
        </w:rPr>
        <w:t>Medicine importers and manufacturers (</w:t>
      </w:r>
      <w:r w:rsidR="0074361E">
        <w:rPr>
          <w:rFonts w:cs="Arial"/>
          <w:szCs w:val="22"/>
        </w:rPr>
        <w:t>referred to as “</w:t>
      </w:r>
      <w:r>
        <w:rPr>
          <w:rFonts w:cs="Arial"/>
          <w:szCs w:val="22"/>
        </w:rPr>
        <w:t>sponsors</w:t>
      </w:r>
      <w:r w:rsidR="0074361E">
        <w:rPr>
          <w:rFonts w:cs="Arial"/>
          <w:szCs w:val="22"/>
        </w:rPr>
        <w:t>”</w:t>
      </w:r>
      <w:r>
        <w:rPr>
          <w:rFonts w:cs="Arial"/>
          <w:szCs w:val="22"/>
        </w:rPr>
        <w:t xml:space="preserve">) </w:t>
      </w:r>
      <w:r w:rsidR="006C6FFE">
        <w:rPr>
          <w:rFonts w:cs="Arial"/>
          <w:szCs w:val="22"/>
        </w:rPr>
        <w:t>are expected to collect and review new information on their medicines.</w:t>
      </w:r>
      <w:r w:rsidR="00E525DD">
        <w:rPr>
          <w:rFonts w:cs="Arial"/>
          <w:szCs w:val="22"/>
        </w:rPr>
        <w:t xml:space="preserve"> Sponsors </w:t>
      </w:r>
      <w:r w:rsidR="00A96ACF">
        <w:rPr>
          <w:rFonts w:cs="Arial"/>
          <w:szCs w:val="22"/>
        </w:rPr>
        <w:t>must</w:t>
      </w:r>
      <w:r>
        <w:rPr>
          <w:rFonts w:cs="Arial"/>
          <w:szCs w:val="22"/>
        </w:rPr>
        <w:t xml:space="preserve"> </w:t>
      </w:r>
      <w:r w:rsidR="00E525DD">
        <w:rPr>
          <w:rFonts w:cs="Arial"/>
          <w:szCs w:val="22"/>
        </w:rPr>
        <w:t>inform Medsafe as soon as possible when this new information impacts on the balance of benefits and risks of harm of their medicines.</w:t>
      </w:r>
    </w:p>
    <w:p w:rsidR="000B3DF8" w:rsidRDefault="000B3DF8" w:rsidP="00C428AB">
      <w:pPr>
        <w:spacing w:line="280" w:lineRule="atLeast"/>
        <w:rPr>
          <w:rFonts w:cs="Arial"/>
          <w:szCs w:val="22"/>
        </w:rPr>
      </w:pPr>
    </w:p>
    <w:p w:rsidR="0087763E" w:rsidRPr="000255B4" w:rsidRDefault="00923487" w:rsidP="000255B4">
      <w:pPr>
        <w:pStyle w:val="NoHeading2"/>
        <w:keepNext/>
        <w:spacing w:before="120"/>
        <w:ind w:right="340"/>
        <w:rPr>
          <w:sz w:val="24"/>
          <w:szCs w:val="24"/>
        </w:rPr>
      </w:pPr>
      <w:bookmarkStart w:id="66" w:name="_Toc414346391"/>
      <w:bookmarkStart w:id="67" w:name="_Toc414522780"/>
      <w:r>
        <w:rPr>
          <w:sz w:val="24"/>
          <w:szCs w:val="24"/>
        </w:rPr>
        <w:t>2.</w:t>
      </w:r>
      <w:r w:rsidR="0017147F">
        <w:rPr>
          <w:sz w:val="24"/>
          <w:szCs w:val="24"/>
        </w:rPr>
        <w:t>5</w:t>
      </w:r>
      <w:r w:rsidR="0087763E" w:rsidRPr="000255B4">
        <w:rPr>
          <w:sz w:val="24"/>
          <w:szCs w:val="24"/>
        </w:rPr>
        <w:t>.1</w:t>
      </w:r>
      <w:r w:rsidR="0087763E" w:rsidRPr="000255B4">
        <w:rPr>
          <w:sz w:val="24"/>
          <w:szCs w:val="24"/>
        </w:rPr>
        <w:tab/>
        <w:t>Sponsors’ obligations</w:t>
      </w:r>
      <w:r w:rsidR="00B81580">
        <w:rPr>
          <w:sz w:val="24"/>
          <w:szCs w:val="24"/>
        </w:rPr>
        <w:t xml:space="preserve"> and responsibilities</w:t>
      </w:r>
      <w:bookmarkEnd w:id="66"/>
      <w:bookmarkEnd w:id="67"/>
    </w:p>
    <w:p w:rsidR="00C31EEF" w:rsidRDefault="00C31EEF" w:rsidP="00C31EEF">
      <w:pPr>
        <w:rPr>
          <w:rFonts w:cs="Arial"/>
          <w:szCs w:val="22"/>
        </w:rPr>
      </w:pPr>
    </w:p>
    <w:p w:rsidR="00C84B11" w:rsidRPr="004715DF" w:rsidRDefault="003C07C5" w:rsidP="00C428AB">
      <w:pPr>
        <w:spacing w:line="280" w:lineRule="atLeast"/>
        <w:rPr>
          <w:rFonts w:cs="Arial"/>
          <w:szCs w:val="22"/>
        </w:rPr>
      </w:pPr>
      <w:r w:rsidRPr="004715DF">
        <w:rPr>
          <w:rFonts w:cs="Arial"/>
          <w:szCs w:val="22"/>
        </w:rPr>
        <w:t>U</w:t>
      </w:r>
      <w:r w:rsidR="00C84B11" w:rsidRPr="004715DF">
        <w:rPr>
          <w:rFonts w:cs="Arial"/>
          <w:szCs w:val="22"/>
        </w:rPr>
        <w:t xml:space="preserve">nder section 41 of the Medicines Act 1981, sponsors have a statutory obligation to report </w:t>
      </w:r>
      <w:r w:rsidR="00FD6B08" w:rsidRPr="004715DF">
        <w:rPr>
          <w:rFonts w:cs="Arial"/>
          <w:szCs w:val="22"/>
        </w:rPr>
        <w:t xml:space="preserve">any </w:t>
      </w:r>
      <w:r w:rsidR="002B076A">
        <w:rPr>
          <w:rFonts w:cs="Arial"/>
          <w:szCs w:val="22"/>
        </w:rPr>
        <w:t xml:space="preserve">substantial </w:t>
      </w:r>
      <w:r w:rsidR="00C84B11" w:rsidRPr="004715DF">
        <w:rPr>
          <w:rFonts w:cs="Arial"/>
          <w:szCs w:val="22"/>
        </w:rPr>
        <w:t>untoward effects</w:t>
      </w:r>
      <w:r w:rsidR="00F57751">
        <w:rPr>
          <w:rFonts w:cs="Arial"/>
          <w:szCs w:val="22"/>
        </w:rPr>
        <w:t xml:space="preserve"> </w:t>
      </w:r>
      <w:r w:rsidR="00C84B11" w:rsidRPr="004715DF">
        <w:rPr>
          <w:rFonts w:cs="Arial"/>
          <w:szCs w:val="22"/>
        </w:rPr>
        <w:t xml:space="preserve">of </w:t>
      </w:r>
      <w:r w:rsidR="00FD6B08" w:rsidRPr="004715DF">
        <w:rPr>
          <w:rFonts w:cs="Arial"/>
          <w:szCs w:val="22"/>
        </w:rPr>
        <w:t xml:space="preserve">their </w:t>
      </w:r>
      <w:r w:rsidR="00C84B11" w:rsidRPr="004715DF">
        <w:rPr>
          <w:rFonts w:cs="Arial"/>
          <w:szCs w:val="22"/>
        </w:rPr>
        <w:t>medicines</w:t>
      </w:r>
      <w:r w:rsidR="00F57751">
        <w:rPr>
          <w:rFonts w:cs="Arial"/>
          <w:szCs w:val="22"/>
        </w:rPr>
        <w:t>, including safety concerns,</w:t>
      </w:r>
      <w:r w:rsidR="00F57751" w:rsidRPr="004715DF">
        <w:rPr>
          <w:rFonts w:cs="Arial"/>
          <w:szCs w:val="22"/>
        </w:rPr>
        <w:t xml:space="preserve"> </w:t>
      </w:r>
      <w:r w:rsidR="00C84B11" w:rsidRPr="004715DF">
        <w:rPr>
          <w:rFonts w:cs="Arial"/>
          <w:szCs w:val="22"/>
        </w:rPr>
        <w:t>to the Director-General of Health.</w:t>
      </w:r>
    </w:p>
    <w:p w:rsidR="00C84B11" w:rsidRPr="004715DF" w:rsidRDefault="00C84B11" w:rsidP="00C428AB">
      <w:pPr>
        <w:spacing w:line="280" w:lineRule="atLeast"/>
        <w:rPr>
          <w:rFonts w:cs="Arial"/>
          <w:szCs w:val="22"/>
        </w:rPr>
      </w:pPr>
    </w:p>
    <w:p w:rsidR="00CE62E2" w:rsidRDefault="00CE62E2" w:rsidP="00CE62E2">
      <w:pPr>
        <w:spacing w:line="280" w:lineRule="atLeast"/>
        <w:rPr>
          <w:rFonts w:cs="Arial"/>
          <w:szCs w:val="22"/>
        </w:rPr>
      </w:pPr>
      <w:r w:rsidRPr="004715DF">
        <w:rPr>
          <w:rFonts w:cs="Arial"/>
          <w:szCs w:val="22"/>
        </w:rPr>
        <w:t xml:space="preserve">In order to </w:t>
      </w:r>
      <w:r w:rsidR="004715DF">
        <w:rPr>
          <w:rFonts w:cs="Arial"/>
          <w:szCs w:val="22"/>
        </w:rPr>
        <w:t>meet</w:t>
      </w:r>
      <w:r w:rsidRPr="004715DF">
        <w:rPr>
          <w:rFonts w:cs="Arial"/>
          <w:szCs w:val="22"/>
        </w:rPr>
        <w:t xml:space="preserve"> this obligation, sponsors should continuously monitor the safety of their medicines and inform Medsafe of any changes </w:t>
      </w:r>
      <w:r w:rsidR="00E525DD">
        <w:rPr>
          <w:rFonts w:cs="Arial"/>
          <w:szCs w:val="22"/>
        </w:rPr>
        <w:t xml:space="preserve">to the safety profile </w:t>
      </w:r>
      <w:r w:rsidRPr="004715DF">
        <w:rPr>
          <w:rFonts w:cs="Arial"/>
          <w:szCs w:val="22"/>
        </w:rPr>
        <w:t xml:space="preserve">that might have an impact on the </w:t>
      </w:r>
      <w:r w:rsidR="00E525DD">
        <w:rPr>
          <w:rFonts w:cs="Arial"/>
          <w:szCs w:val="22"/>
        </w:rPr>
        <w:t xml:space="preserve">balance of </w:t>
      </w:r>
      <w:r w:rsidRPr="004715DF">
        <w:rPr>
          <w:rFonts w:cs="Arial"/>
          <w:szCs w:val="22"/>
        </w:rPr>
        <w:t>benefit</w:t>
      </w:r>
      <w:r w:rsidR="00E525DD">
        <w:rPr>
          <w:rFonts w:cs="Arial"/>
          <w:szCs w:val="22"/>
        </w:rPr>
        <w:t>s</w:t>
      </w:r>
      <w:r w:rsidRPr="004715DF">
        <w:rPr>
          <w:rFonts w:cs="Arial"/>
          <w:szCs w:val="22"/>
        </w:rPr>
        <w:t xml:space="preserve"> </w:t>
      </w:r>
      <w:r w:rsidR="00E525DD">
        <w:rPr>
          <w:rFonts w:cs="Arial"/>
          <w:szCs w:val="22"/>
        </w:rPr>
        <w:t>and</w:t>
      </w:r>
      <w:r w:rsidRPr="004715DF">
        <w:rPr>
          <w:rFonts w:cs="Arial"/>
          <w:szCs w:val="22"/>
        </w:rPr>
        <w:t xml:space="preserve"> risk</w:t>
      </w:r>
      <w:r w:rsidR="00E525DD">
        <w:rPr>
          <w:rFonts w:cs="Arial"/>
          <w:szCs w:val="22"/>
        </w:rPr>
        <w:t xml:space="preserve">s </w:t>
      </w:r>
      <w:r w:rsidRPr="004715DF">
        <w:rPr>
          <w:rFonts w:cs="Arial"/>
          <w:szCs w:val="22"/>
        </w:rPr>
        <w:t>of</w:t>
      </w:r>
      <w:r w:rsidR="00E525DD">
        <w:rPr>
          <w:rFonts w:cs="Arial"/>
          <w:szCs w:val="22"/>
        </w:rPr>
        <w:t xml:space="preserve"> </w:t>
      </w:r>
      <w:r w:rsidRPr="004715DF">
        <w:rPr>
          <w:rFonts w:cs="Arial"/>
          <w:szCs w:val="22"/>
        </w:rPr>
        <w:t>harm. Sponsors should notify</w:t>
      </w:r>
      <w:r w:rsidR="004A4A74" w:rsidRPr="004715DF">
        <w:rPr>
          <w:rFonts w:cs="Arial"/>
          <w:szCs w:val="22"/>
        </w:rPr>
        <w:t xml:space="preserve"> Medsafe</w:t>
      </w:r>
      <w:r w:rsidRPr="004715DF">
        <w:rPr>
          <w:rFonts w:cs="Arial"/>
          <w:szCs w:val="22"/>
        </w:rPr>
        <w:t xml:space="preserve"> </w:t>
      </w:r>
      <w:r w:rsidR="004A4A74" w:rsidRPr="004715DF">
        <w:rPr>
          <w:rFonts w:cs="Arial"/>
          <w:szCs w:val="22"/>
        </w:rPr>
        <w:t>of</w:t>
      </w:r>
      <w:r w:rsidRPr="004715DF">
        <w:rPr>
          <w:rFonts w:cs="Arial"/>
          <w:szCs w:val="22"/>
        </w:rPr>
        <w:t xml:space="preserve"> any emerging safety </w:t>
      </w:r>
      <w:r w:rsidR="00E525DD">
        <w:rPr>
          <w:rFonts w:cs="Arial"/>
          <w:szCs w:val="22"/>
        </w:rPr>
        <w:t>issue within 72 hours.</w:t>
      </w:r>
    </w:p>
    <w:p w:rsidR="00CE62E2" w:rsidRDefault="00CE62E2" w:rsidP="00CE62E2">
      <w:pPr>
        <w:spacing w:line="280" w:lineRule="atLeast"/>
        <w:rPr>
          <w:rFonts w:cs="Arial"/>
          <w:szCs w:val="22"/>
        </w:rPr>
      </w:pPr>
    </w:p>
    <w:p w:rsidR="006C2439" w:rsidRDefault="00F67EE3" w:rsidP="00D9628E">
      <w:pPr>
        <w:rPr>
          <w:szCs w:val="22"/>
        </w:rPr>
      </w:pPr>
      <w:r>
        <w:rPr>
          <w:szCs w:val="22"/>
        </w:rPr>
        <w:t>A</w:t>
      </w:r>
      <w:r w:rsidR="006C2439" w:rsidRPr="00D9628E">
        <w:rPr>
          <w:szCs w:val="22"/>
        </w:rPr>
        <w:t xml:space="preserve">ny request from Medsafe for the provision of additional information regarding safety concerns </w:t>
      </w:r>
      <w:r>
        <w:rPr>
          <w:szCs w:val="22"/>
        </w:rPr>
        <w:t>must be</w:t>
      </w:r>
      <w:r w:rsidR="006C2439" w:rsidRPr="00D9628E">
        <w:rPr>
          <w:szCs w:val="22"/>
        </w:rPr>
        <w:t xml:space="preserve"> answered fully </w:t>
      </w:r>
      <w:r>
        <w:rPr>
          <w:szCs w:val="22"/>
        </w:rPr>
        <w:t xml:space="preserve">by the sponsor </w:t>
      </w:r>
      <w:r w:rsidR="006C2439" w:rsidRPr="00D9628E">
        <w:rPr>
          <w:szCs w:val="22"/>
        </w:rPr>
        <w:t>within the requested timeframe</w:t>
      </w:r>
      <w:r w:rsidR="006C2439">
        <w:rPr>
          <w:szCs w:val="22"/>
        </w:rPr>
        <w:t>.</w:t>
      </w:r>
    </w:p>
    <w:p w:rsidR="006C2439" w:rsidRDefault="006C2439" w:rsidP="00D9628E">
      <w:pPr>
        <w:rPr>
          <w:szCs w:val="22"/>
        </w:rPr>
      </w:pPr>
    </w:p>
    <w:p w:rsidR="000B4493" w:rsidRDefault="00AB4D88" w:rsidP="006C2439">
      <w:pPr>
        <w:rPr>
          <w:szCs w:val="22"/>
        </w:rPr>
      </w:pPr>
      <w:r>
        <w:rPr>
          <w:szCs w:val="22"/>
        </w:rPr>
        <w:t xml:space="preserve">When establishing their </w:t>
      </w:r>
      <w:proofErr w:type="spellStart"/>
      <w:r>
        <w:rPr>
          <w:szCs w:val="22"/>
        </w:rPr>
        <w:t>pharmacovigilance</w:t>
      </w:r>
      <w:proofErr w:type="spellEnd"/>
      <w:r>
        <w:rPr>
          <w:szCs w:val="22"/>
        </w:rPr>
        <w:t xml:space="preserve"> monitoring and reporting systems</w:t>
      </w:r>
      <w:r w:rsidR="00A42E0E">
        <w:rPr>
          <w:szCs w:val="22"/>
        </w:rPr>
        <w:t>,</w:t>
      </w:r>
      <w:r>
        <w:rPr>
          <w:szCs w:val="22"/>
        </w:rPr>
        <w:t xml:space="preserve"> </w:t>
      </w:r>
      <w:r w:rsidR="006C2439">
        <w:rPr>
          <w:szCs w:val="22"/>
        </w:rPr>
        <w:t xml:space="preserve">sponsors </w:t>
      </w:r>
      <w:r>
        <w:rPr>
          <w:szCs w:val="22"/>
        </w:rPr>
        <w:t xml:space="preserve">should </w:t>
      </w:r>
      <w:r w:rsidR="006C2439">
        <w:rPr>
          <w:szCs w:val="22"/>
        </w:rPr>
        <w:t xml:space="preserve">follow the guidance in </w:t>
      </w:r>
      <w:r w:rsidR="006C2439" w:rsidRPr="004715DF">
        <w:rPr>
          <w:szCs w:val="22"/>
        </w:rPr>
        <w:t xml:space="preserve">ICH guideline </w:t>
      </w:r>
      <w:r w:rsidR="006C2439" w:rsidRPr="003C764C">
        <w:rPr>
          <w:i/>
          <w:szCs w:val="22"/>
        </w:rPr>
        <w:t>E2E –</w:t>
      </w:r>
      <w:r w:rsidR="006C2439" w:rsidRPr="004715DF">
        <w:rPr>
          <w:szCs w:val="22"/>
        </w:rPr>
        <w:t xml:space="preserve"> </w:t>
      </w:r>
      <w:proofErr w:type="spellStart"/>
      <w:r w:rsidR="006C2439" w:rsidRPr="00AB4D88">
        <w:rPr>
          <w:i/>
          <w:szCs w:val="22"/>
        </w:rPr>
        <w:t>Pharmacovigilance</w:t>
      </w:r>
      <w:proofErr w:type="spellEnd"/>
      <w:r w:rsidR="006C2439" w:rsidRPr="00AB4D88">
        <w:rPr>
          <w:i/>
          <w:szCs w:val="22"/>
        </w:rPr>
        <w:t xml:space="preserve"> Planning</w:t>
      </w:r>
      <w:r w:rsidR="004715DF">
        <w:rPr>
          <w:rStyle w:val="Hyperlink"/>
          <w:b/>
          <w:i/>
          <w:sz w:val="22"/>
          <w:szCs w:val="22"/>
        </w:rPr>
        <w:t xml:space="preserve"> </w:t>
      </w:r>
      <w:r w:rsidR="004715DF">
        <w:rPr>
          <w:szCs w:val="22"/>
        </w:rPr>
        <w:t>(</w:t>
      </w:r>
      <w:hyperlink r:id="rId30" w:history="1">
        <w:r w:rsidR="004715DF" w:rsidRPr="00640754">
          <w:rPr>
            <w:rStyle w:val="Hyperlink"/>
            <w:sz w:val="22"/>
            <w:szCs w:val="22"/>
          </w:rPr>
          <w:t>www.ich.org/fileadmin/Public_Web_Site/ICH_Products/Guidelines/Efficacy/E2E/Step4/E2E_Guideline.pdf</w:t>
        </w:r>
      </w:hyperlink>
      <w:r w:rsidR="004715DF">
        <w:rPr>
          <w:szCs w:val="22"/>
        </w:rPr>
        <w:t>)</w:t>
      </w:r>
      <w:r w:rsidR="006C2439">
        <w:rPr>
          <w:szCs w:val="22"/>
        </w:rPr>
        <w:t>.</w:t>
      </w:r>
      <w:r w:rsidR="00176B39">
        <w:rPr>
          <w:szCs w:val="22"/>
        </w:rPr>
        <w:t xml:space="preserve"> </w:t>
      </w:r>
    </w:p>
    <w:p w:rsidR="000B4493" w:rsidRPr="002D7289" w:rsidRDefault="000B4493" w:rsidP="002D7289">
      <w:pPr>
        <w:spacing w:line="280" w:lineRule="atLeast"/>
        <w:rPr>
          <w:rFonts w:cs="Arial"/>
          <w:szCs w:val="22"/>
        </w:rPr>
      </w:pPr>
    </w:p>
    <w:p w:rsidR="00815A98" w:rsidRPr="00815A98" w:rsidRDefault="00815A98" w:rsidP="00815A98">
      <w:pPr>
        <w:pStyle w:val="NoHeading2"/>
        <w:keepNext/>
        <w:spacing w:before="120"/>
        <w:ind w:left="1134" w:right="340" w:hanging="1134"/>
        <w:rPr>
          <w:sz w:val="24"/>
          <w:szCs w:val="24"/>
        </w:rPr>
      </w:pPr>
      <w:bookmarkStart w:id="68" w:name="_Toc414346392"/>
      <w:bookmarkStart w:id="69" w:name="_Toc414522781"/>
      <w:r>
        <w:rPr>
          <w:sz w:val="24"/>
          <w:szCs w:val="24"/>
        </w:rPr>
        <w:t>2.5.2</w:t>
      </w:r>
      <w:r>
        <w:rPr>
          <w:sz w:val="24"/>
          <w:szCs w:val="24"/>
        </w:rPr>
        <w:tab/>
      </w:r>
      <w:r w:rsidRPr="00815A98">
        <w:rPr>
          <w:sz w:val="24"/>
          <w:szCs w:val="24"/>
        </w:rPr>
        <w:t>Contact Person</w:t>
      </w:r>
      <w:bookmarkEnd w:id="68"/>
      <w:bookmarkEnd w:id="69"/>
    </w:p>
    <w:p w:rsidR="00815A98" w:rsidRDefault="00815A98" w:rsidP="006C2439">
      <w:pPr>
        <w:rPr>
          <w:szCs w:val="22"/>
        </w:rPr>
      </w:pPr>
    </w:p>
    <w:p w:rsidR="0086572A" w:rsidRDefault="00815A98" w:rsidP="006C2439">
      <w:r>
        <w:rPr>
          <w:szCs w:val="22"/>
        </w:rPr>
        <w:t>Medsafe strongly recommends that sponsors</w:t>
      </w:r>
      <w:r w:rsidR="006C2439">
        <w:t xml:space="preserve"> nominat</w:t>
      </w:r>
      <w:r>
        <w:t>e</w:t>
      </w:r>
      <w:r w:rsidR="006C2439">
        <w:t xml:space="preserve"> a contact person for dealing with </w:t>
      </w:r>
      <w:proofErr w:type="spellStart"/>
      <w:r w:rsidR="006C2439">
        <w:t>pharmacovigilance</w:t>
      </w:r>
      <w:proofErr w:type="spellEnd"/>
      <w:r w:rsidR="006C2439">
        <w:t xml:space="preserve"> matters</w:t>
      </w:r>
      <w:r w:rsidR="00D5714E">
        <w:t xml:space="preserve"> and reporting to Medsafe</w:t>
      </w:r>
      <w:r>
        <w:t>.</w:t>
      </w:r>
      <w:r w:rsidR="00B81580">
        <w:t xml:space="preserve"> </w:t>
      </w:r>
    </w:p>
    <w:p w:rsidR="0086572A" w:rsidRDefault="0086572A" w:rsidP="006C2439"/>
    <w:p w:rsidR="006C2439" w:rsidRDefault="00815A98" w:rsidP="006C2439">
      <w:r>
        <w:t xml:space="preserve">This contact person </w:t>
      </w:r>
      <w:r w:rsidR="00A96ACF">
        <w:t>should preferably be located in New Zealand or at least be contact</w:t>
      </w:r>
      <w:r w:rsidR="00D5714E">
        <w:t>able</w:t>
      </w:r>
      <w:r w:rsidR="00A96ACF">
        <w:t xml:space="preserve"> during normal New Zealand business hours. The </w:t>
      </w:r>
      <w:proofErr w:type="spellStart"/>
      <w:r w:rsidR="00A96ACF">
        <w:t>pharmacovigilance</w:t>
      </w:r>
      <w:proofErr w:type="spellEnd"/>
      <w:r w:rsidR="00A96ACF">
        <w:t xml:space="preserve"> contact person </w:t>
      </w:r>
      <w:r w:rsidR="00D5714E">
        <w:t>should</w:t>
      </w:r>
      <w:r w:rsidR="00A96ACF">
        <w:t xml:space="preserve"> have access to</w:t>
      </w:r>
      <w:r w:rsidR="00DB6CA0">
        <w:t xml:space="preserve"> the expertise of</w:t>
      </w:r>
      <w:r w:rsidR="00A96ACF">
        <w:t xml:space="preserve"> a medically qualified person</w:t>
      </w:r>
      <w:r w:rsidR="00DB6CA0">
        <w:t xml:space="preserve"> when necessary</w:t>
      </w:r>
      <w:r w:rsidR="006C2439">
        <w:t>.</w:t>
      </w:r>
      <w:r w:rsidR="00962EC5">
        <w:t xml:space="preserve"> </w:t>
      </w:r>
    </w:p>
    <w:p w:rsidR="00A42E0E" w:rsidRDefault="00A42E0E" w:rsidP="00D9628E"/>
    <w:p w:rsidR="006D3954" w:rsidRPr="000255B4" w:rsidRDefault="000D2E54" w:rsidP="00923487">
      <w:pPr>
        <w:pStyle w:val="NoHeading2"/>
        <w:keepNext/>
        <w:spacing w:before="120"/>
        <w:ind w:left="1134" w:right="340" w:hanging="1134"/>
        <w:rPr>
          <w:sz w:val="24"/>
          <w:szCs w:val="24"/>
        </w:rPr>
      </w:pPr>
      <w:bookmarkStart w:id="70" w:name="_Toc414346393"/>
      <w:bookmarkStart w:id="71" w:name="_Toc414522782"/>
      <w:r w:rsidRPr="000255B4">
        <w:rPr>
          <w:sz w:val="24"/>
          <w:szCs w:val="24"/>
        </w:rPr>
        <w:t>2</w:t>
      </w:r>
      <w:r w:rsidR="006D3954" w:rsidRPr="000255B4">
        <w:rPr>
          <w:sz w:val="24"/>
          <w:szCs w:val="24"/>
        </w:rPr>
        <w:t>.</w:t>
      </w:r>
      <w:r w:rsidR="0017147F">
        <w:rPr>
          <w:sz w:val="24"/>
          <w:szCs w:val="24"/>
        </w:rPr>
        <w:t>5</w:t>
      </w:r>
      <w:r w:rsidR="00D51F65" w:rsidRPr="000255B4">
        <w:rPr>
          <w:sz w:val="24"/>
          <w:szCs w:val="24"/>
        </w:rPr>
        <w:t>.</w:t>
      </w:r>
      <w:r w:rsidR="00815A98">
        <w:rPr>
          <w:sz w:val="24"/>
          <w:szCs w:val="24"/>
        </w:rPr>
        <w:t>3</w:t>
      </w:r>
      <w:r w:rsidR="006D3954" w:rsidRPr="000255B4">
        <w:rPr>
          <w:sz w:val="24"/>
          <w:szCs w:val="24"/>
        </w:rPr>
        <w:tab/>
        <w:t>Contractual agreements</w:t>
      </w:r>
      <w:r w:rsidRPr="000255B4">
        <w:rPr>
          <w:sz w:val="24"/>
          <w:szCs w:val="24"/>
        </w:rPr>
        <w:t xml:space="preserve"> between </w:t>
      </w:r>
      <w:r w:rsidR="00176B39" w:rsidRPr="000255B4">
        <w:rPr>
          <w:sz w:val="24"/>
          <w:szCs w:val="24"/>
        </w:rPr>
        <w:t xml:space="preserve">sponsors, </w:t>
      </w:r>
      <w:r w:rsidRPr="000255B4">
        <w:rPr>
          <w:sz w:val="24"/>
          <w:szCs w:val="24"/>
        </w:rPr>
        <w:t>manufacturers, importers or distributors</w:t>
      </w:r>
      <w:bookmarkEnd w:id="70"/>
      <w:bookmarkEnd w:id="71"/>
    </w:p>
    <w:p w:rsidR="006D3954" w:rsidRDefault="006D3954" w:rsidP="00D9628E"/>
    <w:p w:rsidR="00A42E0E" w:rsidRDefault="006D3954" w:rsidP="00B81580">
      <w:pPr>
        <w:spacing w:line="280" w:lineRule="atLeast"/>
      </w:pPr>
      <w:r>
        <w:t xml:space="preserve">Where two or more companies have an arrangement to </w:t>
      </w:r>
      <w:r w:rsidR="000D2E54">
        <w:t>market</w:t>
      </w:r>
      <w:r>
        <w:t xml:space="preserve"> the same </w:t>
      </w:r>
      <w:r w:rsidR="00ED5AF8">
        <w:t>medicine</w:t>
      </w:r>
      <w:r>
        <w:t xml:space="preserve"> (</w:t>
      </w:r>
      <w:proofErr w:type="spellStart"/>
      <w:r w:rsidR="00A42E0E">
        <w:t>eg</w:t>
      </w:r>
      <w:proofErr w:type="spellEnd"/>
      <w:r>
        <w:t xml:space="preserve">, under their separate </w:t>
      </w:r>
      <w:r w:rsidR="00ED5AF8">
        <w:t xml:space="preserve">company’s </w:t>
      </w:r>
      <w:r>
        <w:t xml:space="preserve">brand names), each company is responsible for </w:t>
      </w:r>
      <w:r w:rsidR="00980303">
        <w:t xml:space="preserve">ensuring that they meet their regulatory </w:t>
      </w:r>
      <w:proofErr w:type="spellStart"/>
      <w:r w:rsidR="006C2439">
        <w:t>pharmacovigilance</w:t>
      </w:r>
      <w:proofErr w:type="spellEnd"/>
      <w:r w:rsidR="006C2439">
        <w:t xml:space="preserve"> </w:t>
      </w:r>
      <w:r w:rsidR="00980303">
        <w:t xml:space="preserve">obligations. </w:t>
      </w:r>
      <w:r w:rsidR="000D2E54">
        <w:t>Sponsors</w:t>
      </w:r>
      <w:r w:rsidR="00980303">
        <w:t xml:space="preserve"> may, however, make contractual arrangements with each other and/or the manufacturer or importer regarding who will be responsible for</w:t>
      </w:r>
      <w:r w:rsidR="00980303" w:rsidRPr="00A42E0E">
        <w:t xml:space="preserve"> </w:t>
      </w:r>
      <w:r w:rsidR="006C2439" w:rsidRPr="00A42E0E">
        <w:t xml:space="preserve">the </w:t>
      </w:r>
      <w:r w:rsidR="00980303" w:rsidRPr="00A42E0E">
        <w:t>regulatory reporting of safety matters</w:t>
      </w:r>
      <w:r w:rsidR="00A42E0E">
        <w:t xml:space="preserve"> and</w:t>
      </w:r>
      <w:r w:rsidR="006C2439" w:rsidRPr="00A42E0E">
        <w:t xml:space="preserve"> the monitoring of the literature and reports</w:t>
      </w:r>
      <w:r w:rsidR="00AB4D88" w:rsidRPr="00A42E0E">
        <w:t>.</w:t>
      </w:r>
      <w:r w:rsidR="006C2439">
        <w:t xml:space="preserve"> </w:t>
      </w:r>
    </w:p>
    <w:p w:rsidR="00A42E0E" w:rsidRDefault="00A42E0E" w:rsidP="00B81580">
      <w:pPr>
        <w:spacing w:line="280" w:lineRule="atLeast"/>
      </w:pPr>
    </w:p>
    <w:p w:rsidR="00B81580" w:rsidRPr="00A42E0E" w:rsidRDefault="00AB4D88" w:rsidP="00B81580">
      <w:pPr>
        <w:spacing w:line="280" w:lineRule="atLeast"/>
      </w:pPr>
      <w:r>
        <w:t xml:space="preserve">Sponsors should take steps </w:t>
      </w:r>
      <w:r w:rsidR="006C2439">
        <w:t>to ensure that duplication of reporting of the same case report does not occur.</w:t>
      </w:r>
      <w:r w:rsidR="00B81580" w:rsidRPr="00A42E0E">
        <w:t xml:space="preserve"> </w:t>
      </w:r>
    </w:p>
    <w:p w:rsidR="00B81580" w:rsidRDefault="00B81580" w:rsidP="00B81580">
      <w:pPr>
        <w:spacing w:line="280" w:lineRule="atLeast"/>
        <w:rPr>
          <w:rFonts w:cs="Arial"/>
          <w:szCs w:val="22"/>
        </w:rPr>
      </w:pPr>
    </w:p>
    <w:p w:rsidR="00C92AE6" w:rsidRPr="000E44A4" w:rsidRDefault="00C92AE6" w:rsidP="000E44A4">
      <w:pPr>
        <w:pStyle w:val="NoHeading2"/>
        <w:keepNext/>
        <w:spacing w:before="120"/>
        <w:ind w:left="1134" w:right="340" w:hanging="1134"/>
        <w:rPr>
          <w:sz w:val="24"/>
          <w:szCs w:val="24"/>
        </w:rPr>
      </w:pPr>
      <w:bookmarkStart w:id="72" w:name="_Toc414346394"/>
      <w:bookmarkStart w:id="73" w:name="_Toc414522783"/>
      <w:r w:rsidRPr="000E44A4">
        <w:rPr>
          <w:sz w:val="24"/>
          <w:szCs w:val="24"/>
        </w:rPr>
        <w:t>2.5.3.1</w:t>
      </w:r>
      <w:r w:rsidRPr="000E44A4">
        <w:rPr>
          <w:sz w:val="24"/>
          <w:szCs w:val="24"/>
        </w:rPr>
        <w:tab/>
        <w:t xml:space="preserve">Subcontracting </w:t>
      </w:r>
      <w:proofErr w:type="spellStart"/>
      <w:r w:rsidR="000E44A4">
        <w:rPr>
          <w:sz w:val="24"/>
          <w:szCs w:val="24"/>
        </w:rPr>
        <w:t>pharmacovigilance</w:t>
      </w:r>
      <w:proofErr w:type="spellEnd"/>
      <w:r w:rsidR="000E44A4">
        <w:rPr>
          <w:sz w:val="24"/>
          <w:szCs w:val="24"/>
        </w:rPr>
        <w:t xml:space="preserve"> functions</w:t>
      </w:r>
      <w:bookmarkEnd w:id="72"/>
      <w:bookmarkEnd w:id="73"/>
    </w:p>
    <w:p w:rsidR="00C92AE6" w:rsidRDefault="00C92AE6" w:rsidP="00B81580">
      <w:pPr>
        <w:spacing w:line="280" w:lineRule="atLeast"/>
        <w:rPr>
          <w:rFonts w:cs="Arial"/>
          <w:szCs w:val="22"/>
        </w:rPr>
      </w:pPr>
    </w:p>
    <w:p w:rsidR="00C92AE6" w:rsidRDefault="00C92AE6" w:rsidP="00B81580">
      <w:pPr>
        <w:spacing w:line="280" w:lineRule="atLeast"/>
        <w:rPr>
          <w:rFonts w:cs="Arial"/>
          <w:szCs w:val="22"/>
        </w:rPr>
      </w:pPr>
      <w:r>
        <w:rPr>
          <w:rFonts w:cs="Arial"/>
          <w:szCs w:val="22"/>
        </w:rPr>
        <w:t xml:space="preserve">Sponsors may elect to subcontract out their </w:t>
      </w:r>
      <w:proofErr w:type="spellStart"/>
      <w:r>
        <w:rPr>
          <w:rFonts w:cs="Arial"/>
          <w:szCs w:val="22"/>
        </w:rPr>
        <w:t>pharmacovigilance</w:t>
      </w:r>
      <w:proofErr w:type="spellEnd"/>
      <w:r>
        <w:rPr>
          <w:rFonts w:cs="Arial"/>
          <w:szCs w:val="22"/>
        </w:rPr>
        <w:t xml:space="preserve"> responsibilities to specialised </w:t>
      </w:r>
      <w:proofErr w:type="spellStart"/>
      <w:r>
        <w:rPr>
          <w:rFonts w:cs="Arial"/>
          <w:szCs w:val="22"/>
        </w:rPr>
        <w:t>pharmacovigilance</w:t>
      </w:r>
      <w:proofErr w:type="spellEnd"/>
      <w:r>
        <w:rPr>
          <w:rFonts w:cs="Arial"/>
          <w:szCs w:val="22"/>
        </w:rPr>
        <w:t xml:space="preserve"> organisations. </w:t>
      </w:r>
      <w:r w:rsidRPr="00C92AE6">
        <w:rPr>
          <w:rFonts w:cs="Arial"/>
          <w:szCs w:val="22"/>
        </w:rPr>
        <w:t xml:space="preserve">When subcontracting tasks to another </w:t>
      </w:r>
      <w:r>
        <w:rPr>
          <w:rFonts w:cs="Arial"/>
          <w:szCs w:val="22"/>
        </w:rPr>
        <w:t>provider</w:t>
      </w:r>
      <w:r w:rsidRPr="00C92AE6">
        <w:rPr>
          <w:rFonts w:cs="Arial"/>
          <w:szCs w:val="22"/>
        </w:rPr>
        <w:t xml:space="preserve">, the </w:t>
      </w:r>
      <w:r>
        <w:rPr>
          <w:rFonts w:cs="Arial"/>
          <w:szCs w:val="22"/>
        </w:rPr>
        <w:t>sponsor</w:t>
      </w:r>
      <w:r w:rsidRPr="00C92AE6">
        <w:rPr>
          <w:rFonts w:cs="Arial"/>
          <w:szCs w:val="22"/>
        </w:rPr>
        <w:t xml:space="preserve"> sh</w:t>
      </w:r>
      <w:r>
        <w:rPr>
          <w:rFonts w:cs="Arial"/>
          <w:szCs w:val="22"/>
        </w:rPr>
        <w:t>ould</w:t>
      </w:r>
      <w:r w:rsidRPr="00C92AE6">
        <w:rPr>
          <w:rFonts w:cs="Arial"/>
          <w:szCs w:val="22"/>
        </w:rPr>
        <w:t xml:space="preserve"> draw up sub</w:t>
      </w:r>
      <w:r>
        <w:rPr>
          <w:rFonts w:cs="Arial"/>
          <w:szCs w:val="22"/>
        </w:rPr>
        <w:t>-</w:t>
      </w:r>
      <w:r w:rsidRPr="00C92AE6">
        <w:rPr>
          <w:rFonts w:cs="Arial"/>
          <w:szCs w:val="22"/>
        </w:rPr>
        <w:t xml:space="preserve">contracts </w:t>
      </w:r>
      <w:r>
        <w:rPr>
          <w:rFonts w:cs="Arial"/>
          <w:szCs w:val="22"/>
        </w:rPr>
        <w:t xml:space="preserve">that are sufficiently </w:t>
      </w:r>
      <w:r w:rsidRPr="00C92AE6">
        <w:rPr>
          <w:rFonts w:cs="Arial"/>
          <w:szCs w:val="22"/>
        </w:rPr>
        <w:t>detailed, up-to-date</w:t>
      </w:r>
      <w:r>
        <w:rPr>
          <w:rFonts w:cs="Arial"/>
          <w:szCs w:val="22"/>
        </w:rPr>
        <w:t>,</w:t>
      </w:r>
      <w:r w:rsidRPr="00C92AE6">
        <w:rPr>
          <w:rFonts w:cs="Arial"/>
          <w:szCs w:val="22"/>
        </w:rPr>
        <w:t xml:space="preserve"> and</w:t>
      </w:r>
      <w:r w:rsidR="00A42E0E">
        <w:rPr>
          <w:rFonts w:cs="Arial"/>
          <w:szCs w:val="22"/>
        </w:rPr>
        <w:t xml:space="preserve"> which</w:t>
      </w:r>
      <w:r w:rsidRPr="00C92AE6">
        <w:rPr>
          <w:rFonts w:cs="Arial"/>
          <w:szCs w:val="22"/>
        </w:rPr>
        <w:t xml:space="preserve"> </w:t>
      </w:r>
      <w:r w:rsidR="00D5714E">
        <w:rPr>
          <w:rFonts w:cs="Arial"/>
          <w:szCs w:val="22"/>
        </w:rPr>
        <w:t xml:space="preserve">clearly </w:t>
      </w:r>
      <w:r w:rsidR="004A4A74">
        <w:rPr>
          <w:rFonts w:cs="Arial"/>
          <w:szCs w:val="22"/>
        </w:rPr>
        <w:t>specif</w:t>
      </w:r>
      <w:r w:rsidR="00A42E0E">
        <w:rPr>
          <w:rFonts w:cs="Arial"/>
          <w:szCs w:val="22"/>
        </w:rPr>
        <w:t>y</w:t>
      </w:r>
      <w:r w:rsidRPr="00C92AE6">
        <w:rPr>
          <w:rFonts w:cs="Arial"/>
          <w:szCs w:val="22"/>
        </w:rPr>
        <w:t xml:space="preserve"> the contractual arrangements between the </w:t>
      </w:r>
      <w:r>
        <w:rPr>
          <w:rFonts w:cs="Arial"/>
          <w:szCs w:val="22"/>
        </w:rPr>
        <w:t xml:space="preserve">sponsor </w:t>
      </w:r>
      <w:r w:rsidRPr="00C92AE6">
        <w:rPr>
          <w:rFonts w:cs="Arial"/>
          <w:szCs w:val="22"/>
        </w:rPr>
        <w:t xml:space="preserve">and the </w:t>
      </w:r>
      <w:r>
        <w:rPr>
          <w:rFonts w:cs="Arial"/>
          <w:szCs w:val="22"/>
        </w:rPr>
        <w:t>provider. These should</w:t>
      </w:r>
      <w:r w:rsidRPr="00C92AE6">
        <w:rPr>
          <w:rFonts w:cs="Arial"/>
          <w:szCs w:val="22"/>
        </w:rPr>
        <w:t xml:space="preserve"> describ</w:t>
      </w:r>
      <w:r>
        <w:rPr>
          <w:rFonts w:cs="Arial"/>
          <w:szCs w:val="22"/>
        </w:rPr>
        <w:t>e the</w:t>
      </w:r>
      <w:r w:rsidRPr="00C92AE6">
        <w:rPr>
          <w:rFonts w:cs="Arial"/>
          <w:szCs w:val="22"/>
        </w:rPr>
        <w:t xml:space="preserve"> arrangements for delegation</w:t>
      </w:r>
      <w:r>
        <w:rPr>
          <w:rFonts w:cs="Arial"/>
          <w:szCs w:val="22"/>
        </w:rPr>
        <w:t>, delegated tasks, related interactions and data exchange, timelines and the responsibilities of each party.</w:t>
      </w:r>
    </w:p>
    <w:p w:rsidR="00C92AE6" w:rsidRDefault="00C92AE6" w:rsidP="00B81580">
      <w:pPr>
        <w:spacing w:line="280" w:lineRule="atLeast"/>
        <w:rPr>
          <w:rFonts w:cs="Arial"/>
          <w:szCs w:val="22"/>
        </w:rPr>
      </w:pPr>
    </w:p>
    <w:p w:rsidR="00C92AE6" w:rsidRDefault="00C92AE6" w:rsidP="00B81580">
      <w:pPr>
        <w:spacing w:line="280" w:lineRule="atLeast"/>
        <w:rPr>
          <w:rFonts w:cs="Arial"/>
          <w:szCs w:val="22"/>
        </w:rPr>
      </w:pPr>
      <w:r>
        <w:rPr>
          <w:rFonts w:cs="Arial"/>
          <w:szCs w:val="22"/>
        </w:rPr>
        <w:t xml:space="preserve">The sponsor retains responsibility for ensuring that </w:t>
      </w:r>
      <w:r w:rsidR="000E44A4">
        <w:rPr>
          <w:rFonts w:cs="Arial"/>
          <w:szCs w:val="22"/>
        </w:rPr>
        <w:t xml:space="preserve">an effective </w:t>
      </w:r>
      <w:proofErr w:type="spellStart"/>
      <w:r w:rsidR="000E44A4">
        <w:rPr>
          <w:rFonts w:cs="Arial"/>
          <w:szCs w:val="22"/>
        </w:rPr>
        <w:t>pharmacovigilance</w:t>
      </w:r>
      <w:proofErr w:type="spellEnd"/>
      <w:r w:rsidR="000E44A4">
        <w:rPr>
          <w:rFonts w:cs="Arial"/>
          <w:szCs w:val="22"/>
        </w:rPr>
        <w:t xml:space="preserve"> system is in place.</w:t>
      </w:r>
    </w:p>
    <w:p w:rsidR="0083070F" w:rsidRDefault="0083070F" w:rsidP="00B81580">
      <w:pPr>
        <w:spacing w:line="280" w:lineRule="atLeast"/>
        <w:rPr>
          <w:rFonts w:cs="Arial"/>
          <w:szCs w:val="22"/>
        </w:rPr>
      </w:pPr>
    </w:p>
    <w:p w:rsidR="00B81580" w:rsidRPr="00923487" w:rsidRDefault="0017147F" w:rsidP="00923487">
      <w:pPr>
        <w:pStyle w:val="NoHeading2"/>
        <w:keepNext/>
        <w:spacing w:before="120"/>
        <w:ind w:left="1134" w:right="340" w:hanging="1134"/>
        <w:rPr>
          <w:sz w:val="24"/>
          <w:szCs w:val="24"/>
        </w:rPr>
      </w:pPr>
      <w:bookmarkStart w:id="74" w:name="_Toc414346395"/>
      <w:bookmarkStart w:id="75" w:name="_Toc414522784"/>
      <w:r>
        <w:rPr>
          <w:sz w:val="24"/>
          <w:szCs w:val="24"/>
        </w:rPr>
        <w:t>2.</w:t>
      </w:r>
      <w:r w:rsidR="00815A98">
        <w:rPr>
          <w:sz w:val="24"/>
          <w:szCs w:val="24"/>
        </w:rPr>
        <w:t>5</w:t>
      </w:r>
      <w:r w:rsidR="00B81580">
        <w:rPr>
          <w:sz w:val="24"/>
          <w:szCs w:val="24"/>
        </w:rPr>
        <w:t>.</w:t>
      </w:r>
      <w:r w:rsidR="00815A98">
        <w:rPr>
          <w:sz w:val="24"/>
          <w:szCs w:val="24"/>
        </w:rPr>
        <w:t>4</w:t>
      </w:r>
      <w:r w:rsidR="00B81580">
        <w:rPr>
          <w:sz w:val="24"/>
          <w:szCs w:val="24"/>
        </w:rPr>
        <w:tab/>
      </w:r>
      <w:r w:rsidR="00B81580" w:rsidRPr="00923487">
        <w:rPr>
          <w:sz w:val="24"/>
          <w:szCs w:val="24"/>
        </w:rPr>
        <w:t>Emergency planning</w:t>
      </w:r>
      <w:bookmarkEnd w:id="74"/>
      <w:bookmarkEnd w:id="75"/>
    </w:p>
    <w:p w:rsidR="006D3954" w:rsidRDefault="006D3954" w:rsidP="00D9628E"/>
    <w:p w:rsidR="00B81580" w:rsidRDefault="00D5714E" w:rsidP="00D9628E">
      <w:r>
        <w:t>Sponsors are expected to have in place</w:t>
      </w:r>
      <w:r w:rsidR="001E6607">
        <w:t xml:space="preserve"> plan</w:t>
      </w:r>
      <w:r>
        <w:t>s for dealing with critical incidents</w:t>
      </w:r>
      <w:r w:rsidR="001E6607">
        <w:t>. These may include situations</w:t>
      </w:r>
      <w:r>
        <w:t xml:space="preserve"> such as </w:t>
      </w:r>
      <w:r w:rsidR="001E6607">
        <w:t xml:space="preserve">recalls, or </w:t>
      </w:r>
      <w:r>
        <w:t xml:space="preserve">new urgent safety </w:t>
      </w:r>
      <w:r w:rsidR="001E6607">
        <w:t>information that may alter the benefit-risk balance of their medicines.</w:t>
      </w:r>
    </w:p>
    <w:p w:rsidR="006C2439" w:rsidRDefault="006C2439" w:rsidP="00D9628E"/>
    <w:p w:rsidR="00DB6CA0" w:rsidRDefault="00923487" w:rsidP="00A77C6A">
      <w:pPr>
        <w:pStyle w:val="NoHeading2"/>
        <w:keepNext/>
        <w:spacing w:before="120"/>
        <w:ind w:left="1134" w:right="340" w:hanging="1134"/>
      </w:pPr>
      <w:bookmarkStart w:id="76" w:name="_Toc414346396"/>
      <w:bookmarkStart w:id="77" w:name="_Toc414522785"/>
      <w:r>
        <w:t>2.</w:t>
      </w:r>
      <w:r w:rsidR="0017147F">
        <w:t>6</w:t>
      </w:r>
      <w:r w:rsidR="00DB6CA0">
        <w:tab/>
      </w:r>
      <w:r w:rsidR="00DB6CA0" w:rsidRPr="00DB6CA0">
        <w:t>Failure to comply</w:t>
      </w:r>
      <w:r w:rsidR="00F67EE3">
        <w:t xml:space="preserve"> with responsibilities and obligations</w:t>
      </w:r>
      <w:bookmarkEnd w:id="76"/>
      <w:bookmarkEnd w:id="77"/>
    </w:p>
    <w:p w:rsidR="00DB6CA0" w:rsidRPr="00DB6CA0" w:rsidRDefault="00DB6CA0" w:rsidP="00DB6CA0"/>
    <w:p w:rsidR="006C2439" w:rsidRDefault="00DB6CA0" w:rsidP="00DB6CA0">
      <w:r w:rsidRPr="00AB4D88">
        <w:t xml:space="preserve">Sponsors should be aware that refusal or failure to meet their responsibilities may result in </w:t>
      </w:r>
      <w:r w:rsidR="00236075" w:rsidRPr="00AB4D88">
        <w:t>suspension</w:t>
      </w:r>
      <w:r w:rsidR="002B076A">
        <w:t xml:space="preserve"> </w:t>
      </w:r>
      <w:r w:rsidR="00236075" w:rsidRPr="00AB4D88">
        <w:t xml:space="preserve">or </w:t>
      </w:r>
      <w:r w:rsidRPr="00AB4D88">
        <w:t>withdrawal of consent to distribute the medicine under section 35 of the Act</w:t>
      </w:r>
      <w:r w:rsidR="002B076A">
        <w:t xml:space="preserve">. Alternatively </w:t>
      </w:r>
      <w:r w:rsidR="002B076A" w:rsidRPr="00AB4D88">
        <w:t>conditions</w:t>
      </w:r>
      <w:r w:rsidR="002B076A">
        <w:t xml:space="preserve"> may be imposed on the sale or supply of the medicine under section 36 of the Act</w:t>
      </w:r>
      <w:r w:rsidRPr="00AB4D88">
        <w:t>.</w:t>
      </w:r>
    </w:p>
    <w:p w:rsidR="006C2439" w:rsidRDefault="006C2439" w:rsidP="00D9628E"/>
    <w:p w:rsidR="006C2439" w:rsidRPr="00AD4B6E" w:rsidRDefault="006C2439" w:rsidP="00D9628E"/>
    <w:p w:rsidR="0012404E" w:rsidRPr="00F31563" w:rsidRDefault="0012404E" w:rsidP="00D9628E">
      <w:pPr>
        <w:pStyle w:val="NoHeading1"/>
        <w:tabs>
          <w:tab w:val="clear" w:pos="2268"/>
        </w:tabs>
        <w:spacing w:after="0" w:line="280" w:lineRule="atLeast"/>
        <w:ind w:right="340"/>
        <w:rPr>
          <w:szCs w:val="22"/>
        </w:rPr>
      </w:pPr>
      <w:r w:rsidRPr="00A77C6A">
        <w:rPr>
          <w:rFonts w:cs="Times New Roman"/>
          <w:b w:val="0"/>
          <w:color w:val="auto"/>
          <w:sz w:val="22"/>
          <w:szCs w:val="24"/>
        </w:rPr>
        <w:br w:type="page"/>
      </w:r>
      <w:bookmarkStart w:id="78" w:name="_Toc414346397"/>
      <w:bookmarkStart w:id="79" w:name="_Toc414522786"/>
      <w:r w:rsidR="00D25C9B">
        <w:rPr>
          <w:szCs w:val="22"/>
        </w:rPr>
        <w:t xml:space="preserve">Section </w:t>
      </w:r>
      <w:r w:rsidR="00063126">
        <w:rPr>
          <w:szCs w:val="22"/>
        </w:rPr>
        <w:t>3</w:t>
      </w:r>
      <w:r w:rsidR="00D25C9B">
        <w:rPr>
          <w:szCs w:val="22"/>
        </w:rPr>
        <w:t>:</w:t>
      </w:r>
      <w:r w:rsidR="00D25C9B">
        <w:rPr>
          <w:szCs w:val="22"/>
        </w:rPr>
        <w:tab/>
      </w:r>
      <w:r w:rsidR="007376FF" w:rsidRPr="001A5EAE">
        <w:rPr>
          <w:szCs w:val="22"/>
        </w:rPr>
        <w:t>Reporting</w:t>
      </w:r>
      <w:bookmarkEnd w:id="78"/>
      <w:bookmarkEnd w:id="79"/>
      <w:r w:rsidR="007376FF" w:rsidRPr="001A5EAE">
        <w:rPr>
          <w:szCs w:val="22"/>
        </w:rPr>
        <w:t xml:space="preserve"> </w:t>
      </w:r>
    </w:p>
    <w:p w:rsidR="00687D8A" w:rsidRDefault="00687D8A" w:rsidP="00687D8A"/>
    <w:p w:rsidR="00687D8A" w:rsidRDefault="00687D8A" w:rsidP="00687D8A"/>
    <w:p w:rsidR="00687D8A" w:rsidRDefault="00687D8A" w:rsidP="00687D8A">
      <w:pPr>
        <w:pBdr>
          <w:top w:val="single" w:sz="4" w:space="0" w:color="auto"/>
          <w:left w:val="single" w:sz="4" w:space="4" w:color="auto"/>
          <w:bottom w:val="single" w:sz="4" w:space="0" w:color="auto"/>
          <w:right w:val="single" w:sz="4" w:space="15" w:color="auto"/>
        </w:pBdr>
        <w:ind w:right="340"/>
        <w:contextualSpacing/>
        <w:rPr>
          <w:rStyle w:val="NormalBoldTeal"/>
          <w:sz w:val="24"/>
        </w:rPr>
      </w:pPr>
    </w:p>
    <w:p w:rsidR="00687D8A" w:rsidRDefault="00687D8A" w:rsidP="00687D8A">
      <w:pPr>
        <w:pBdr>
          <w:top w:val="single" w:sz="4" w:space="0" w:color="auto"/>
          <w:left w:val="single" w:sz="4" w:space="4" w:color="auto"/>
          <w:bottom w:val="single" w:sz="4" w:space="0" w:color="auto"/>
          <w:right w:val="single" w:sz="4" w:space="15" w:color="auto"/>
        </w:pBdr>
        <w:spacing w:after="120"/>
        <w:ind w:right="340"/>
        <w:rPr>
          <w:rStyle w:val="NormalBoldTeal"/>
          <w:sz w:val="24"/>
        </w:rPr>
      </w:pPr>
      <w:r w:rsidRPr="00557EA4">
        <w:rPr>
          <w:rStyle w:val="NormalBoldTeal"/>
          <w:sz w:val="24"/>
        </w:rPr>
        <w:t>Section summary</w:t>
      </w:r>
    </w:p>
    <w:p w:rsidR="00687D8A" w:rsidRDefault="00687D8A" w:rsidP="00687D8A">
      <w:pPr>
        <w:pBdr>
          <w:top w:val="single" w:sz="4" w:space="0" w:color="auto"/>
          <w:left w:val="single" w:sz="4" w:space="4" w:color="auto"/>
          <w:bottom w:val="single" w:sz="4" w:space="0" w:color="auto"/>
          <w:right w:val="single" w:sz="4" w:space="15" w:color="auto"/>
        </w:pBdr>
        <w:spacing w:before="120"/>
        <w:ind w:right="340"/>
        <w:contextualSpacing/>
        <w:rPr>
          <w:rStyle w:val="SummaryText"/>
          <w:sz w:val="22"/>
          <w:szCs w:val="22"/>
        </w:rPr>
      </w:pPr>
      <w:r w:rsidRPr="00CD6EF8">
        <w:rPr>
          <w:rStyle w:val="SummaryText"/>
          <w:sz w:val="22"/>
          <w:szCs w:val="22"/>
        </w:rPr>
        <w:t>This section</w:t>
      </w:r>
      <w:r>
        <w:rPr>
          <w:rStyle w:val="SummaryText"/>
          <w:sz w:val="22"/>
          <w:szCs w:val="22"/>
        </w:rPr>
        <w:t xml:space="preserve"> outlines sponsor responsibilities for reporting suspected adverse reactions to medicines.</w:t>
      </w:r>
    </w:p>
    <w:p w:rsidR="00687D8A" w:rsidRPr="007F0424" w:rsidRDefault="00687D8A" w:rsidP="00687D8A">
      <w:pPr>
        <w:pBdr>
          <w:top w:val="single" w:sz="4" w:space="0" w:color="auto"/>
          <w:left w:val="single" w:sz="4" w:space="4" w:color="auto"/>
          <w:bottom w:val="single" w:sz="4" w:space="0" w:color="auto"/>
          <w:right w:val="single" w:sz="4" w:space="15" w:color="auto"/>
        </w:pBdr>
        <w:ind w:right="340"/>
        <w:contextualSpacing/>
        <w:rPr>
          <w:rStyle w:val="SummaryText"/>
          <w:i w:val="0"/>
          <w:sz w:val="22"/>
          <w:szCs w:val="22"/>
        </w:rPr>
      </w:pPr>
    </w:p>
    <w:p w:rsidR="00687D8A" w:rsidRPr="00952DCF" w:rsidRDefault="00687D8A" w:rsidP="00687D8A"/>
    <w:p w:rsidR="00687D8A" w:rsidRPr="004D2A80" w:rsidRDefault="00687D8A" w:rsidP="00687D8A">
      <w:pPr>
        <w:pStyle w:val="NoHeading2"/>
        <w:keepNext/>
        <w:spacing w:before="120"/>
        <w:ind w:right="340"/>
      </w:pPr>
      <w:bookmarkStart w:id="80" w:name="_Toc414346398"/>
      <w:bookmarkStart w:id="81" w:name="_Toc414522787"/>
      <w:r>
        <w:t>3.1</w:t>
      </w:r>
      <w:r w:rsidRPr="00C84B11">
        <w:tab/>
      </w:r>
      <w:r>
        <w:t>Introduction</w:t>
      </w:r>
      <w:bookmarkEnd w:id="80"/>
      <w:bookmarkEnd w:id="81"/>
    </w:p>
    <w:p w:rsidR="00687D8A" w:rsidRDefault="00687D8A" w:rsidP="00687D8A">
      <w:pPr>
        <w:spacing w:line="280" w:lineRule="atLeast"/>
        <w:rPr>
          <w:rFonts w:cs="Arial"/>
          <w:szCs w:val="22"/>
        </w:rPr>
      </w:pPr>
    </w:p>
    <w:p w:rsidR="005C7D91" w:rsidRPr="00674E54" w:rsidRDefault="00211618" w:rsidP="003F0704">
      <w:pPr>
        <w:spacing w:line="280" w:lineRule="atLeast"/>
        <w:rPr>
          <w:rFonts w:cs="Arial"/>
          <w:szCs w:val="22"/>
        </w:rPr>
      </w:pPr>
      <w:r>
        <w:rPr>
          <w:rFonts w:cs="Arial"/>
          <w:szCs w:val="22"/>
        </w:rPr>
        <w:t xml:space="preserve">The reporting of suspected adverse events or adverse reactions to medicines is fundamental to </w:t>
      </w:r>
      <w:proofErr w:type="spellStart"/>
      <w:r>
        <w:rPr>
          <w:rFonts w:cs="Arial"/>
          <w:szCs w:val="22"/>
        </w:rPr>
        <w:t>pharmacovigilance</w:t>
      </w:r>
      <w:proofErr w:type="spellEnd"/>
      <w:r>
        <w:rPr>
          <w:rFonts w:cs="Arial"/>
          <w:szCs w:val="22"/>
        </w:rPr>
        <w:t xml:space="preserve">. </w:t>
      </w:r>
      <w:proofErr w:type="spellStart"/>
      <w:r w:rsidR="00063126">
        <w:rPr>
          <w:rFonts w:cs="Arial"/>
          <w:szCs w:val="22"/>
        </w:rPr>
        <w:t>Pharmacovigilance</w:t>
      </w:r>
      <w:proofErr w:type="spellEnd"/>
      <w:r w:rsidR="00063126">
        <w:rPr>
          <w:rFonts w:cs="Arial"/>
          <w:szCs w:val="22"/>
        </w:rPr>
        <w:t xml:space="preserve"> is def</w:t>
      </w:r>
      <w:r w:rsidR="008E53F7">
        <w:rPr>
          <w:rFonts w:cs="Arial"/>
          <w:szCs w:val="22"/>
        </w:rPr>
        <w:t>ined by the World Health Organiz</w:t>
      </w:r>
      <w:r w:rsidR="00063126">
        <w:rPr>
          <w:rFonts w:cs="Arial"/>
          <w:szCs w:val="22"/>
        </w:rPr>
        <w:t xml:space="preserve">ation (WHO) as the science and activities relating to the detection, assessment, understanding and prevention of adverse effects or any </w:t>
      </w:r>
      <w:r w:rsidR="003F0704">
        <w:rPr>
          <w:rFonts w:cs="Arial"/>
          <w:szCs w:val="22"/>
        </w:rPr>
        <w:t>medicine</w:t>
      </w:r>
      <w:r w:rsidR="00063126">
        <w:rPr>
          <w:rFonts w:cs="Arial"/>
          <w:szCs w:val="22"/>
        </w:rPr>
        <w:t>-related problem.</w:t>
      </w:r>
      <w:r w:rsidR="003F0704">
        <w:rPr>
          <w:rFonts w:cs="Arial"/>
          <w:szCs w:val="22"/>
        </w:rPr>
        <w:t xml:space="preserve"> </w:t>
      </w:r>
    </w:p>
    <w:p w:rsidR="005C7D91" w:rsidRDefault="005C7D91" w:rsidP="005C7D91">
      <w:pPr>
        <w:spacing w:line="280" w:lineRule="atLeast"/>
        <w:rPr>
          <w:rFonts w:cs="Arial"/>
          <w:szCs w:val="22"/>
        </w:rPr>
      </w:pPr>
    </w:p>
    <w:p w:rsidR="00004197" w:rsidRDefault="00F21C82" w:rsidP="00004197">
      <w:pPr>
        <w:spacing w:line="280" w:lineRule="atLeast"/>
        <w:rPr>
          <w:rFonts w:cs="Arial"/>
          <w:szCs w:val="22"/>
        </w:rPr>
      </w:pPr>
      <w:r>
        <w:rPr>
          <w:rFonts w:cs="Arial"/>
          <w:szCs w:val="22"/>
        </w:rPr>
        <w:t>An adverse</w:t>
      </w:r>
      <w:r w:rsidR="00004197">
        <w:rPr>
          <w:rFonts w:cs="Arial"/>
          <w:szCs w:val="22"/>
        </w:rPr>
        <w:t xml:space="preserve"> drug</w:t>
      </w:r>
      <w:r>
        <w:rPr>
          <w:rFonts w:cs="Arial"/>
          <w:szCs w:val="22"/>
        </w:rPr>
        <w:t xml:space="preserve"> reaction is a noxious and unintended response to a medicine. </w:t>
      </w:r>
      <w:r w:rsidR="00004197">
        <w:rPr>
          <w:rFonts w:cs="Arial"/>
          <w:szCs w:val="22"/>
        </w:rPr>
        <w:t xml:space="preserve">In accordance with the ICH E2A guideline, the definition of an adverse reaction implies at least a reasonable plausibility of a causal relationship between a medicine and an adverse event. </w:t>
      </w:r>
    </w:p>
    <w:p w:rsidR="00004197" w:rsidRDefault="00004197" w:rsidP="00004197">
      <w:pPr>
        <w:spacing w:line="280" w:lineRule="atLeast"/>
        <w:rPr>
          <w:rFonts w:cs="Arial"/>
          <w:szCs w:val="22"/>
        </w:rPr>
      </w:pPr>
    </w:p>
    <w:p w:rsidR="00F21C82" w:rsidRDefault="00F21C82" w:rsidP="00F21C82">
      <w:pPr>
        <w:rPr>
          <w:rFonts w:cs="Arial"/>
          <w:szCs w:val="22"/>
        </w:rPr>
      </w:pPr>
      <w:r>
        <w:rPr>
          <w:rFonts w:cs="Arial"/>
          <w:szCs w:val="22"/>
        </w:rPr>
        <w:t xml:space="preserve">This includes adverse reactions which arise from: </w:t>
      </w:r>
    </w:p>
    <w:p w:rsidR="00F21C82" w:rsidRPr="00F21C82" w:rsidRDefault="00AB4D88" w:rsidP="00F21C82">
      <w:pPr>
        <w:pStyle w:val="ListBullet"/>
        <w:spacing w:before="120" w:after="120"/>
        <w:ind w:left="714" w:hanging="357"/>
      </w:pPr>
      <w:r>
        <w:t>t</w:t>
      </w:r>
      <w:r w:rsidR="00F21C82" w:rsidRPr="00F21C82">
        <w:t>he approved use of a medicine</w:t>
      </w:r>
    </w:p>
    <w:p w:rsidR="00004197" w:rsidRDefault="00AB4D88" w:rsidP="00F21C82">
      <w:pPr>
        <w:pStyle w:val="ListBullet"/>
        <w:spacing w:before="120" w:after="120"/>
        <w:ind w:left="714" w:hanging="357"/>
      </w:pPr>
      <w:r>
        <w:t>t</w:t>
      </w:r>
      <w:r w:rsidR="00F21C82" w:rsidRPr="001F2208">
        <w:t xml:space="preserve">he unapproved use of a medicine, </w:t>
      </w:r>
      <w:r w:rsidR="00A42E0E">
        <w:t>(</w:t>
      </w:r>
      <w:proofErr w:type="spellStart"/>
      <w:r w:rsidR="00A42E0E">
        <w:t>eg</w:t>
      </w:r>
      <w:proofErr w:type="spellEnd"/>
      <w:r w:rsidR="00A42E0E">
        <w:t>,</w:t>
      </w:r>
      <w:r w:rsidR="00F21C82" w:rsidRPr="001F2208">
        <w:t xml:space="preserve"> in overdose</w:t>
      </w:r>
      <w:r w:rsidR="00004197">
        <w:t xml:space="preserve"> or</w:t>
      </w:r>
      <w:r w:rsidR="00F21C82" w:rsidRPr="001F2208">
        <w:t xml:space="preserve"> off-label use</w:t>
      </w:r>
      <w:r w:rsidR="00A42E0E">
        <w:t>)</w:t>
      </w:r>
    </w:p>
    <w:p w:rsidR="00F21C82" w:rsidRPr="001F2208" w:rsidRDefault="00AB4D88" w:rsidP="00F21C82">
      <w:pPr>
        <w:pStyle w:val="ListBullet"/>
        <w:spacing w:before="120" w:after="120"/>
        <w:ind w:left="714" w:hanging="357"/>
      </w:pPr>
      <w:r>
        <w:t>m</w:t>
      </w:r>
      <w:r w:rsidR="00F21C82" w:rsidRPr="001F2208">
        <w:t>edication error</w:t>
      </w:r>
    </w:p>
    <w:p w:rsidR="00F21C82" w:rsidRPr="001F2208" w:rsidRDefault="00AB4D88" w:rsidP="00F21C82">
      <w:pPr>
        <w:pStyle w:val="ListBullet"/>
        <w:spacing w:before="120" w:after="120"/>
        <w:ind w:left="714" w:hanging="357"/>
      </w:pPr>
      <w:proofErr w:type="gramStart"/>
      <w:r>
        <w:t>o</w:t>
      </w:r>
      <w:r w:rsidR="00F21C82" w:rsidRPr="001F2208">
        <w:t>ccupational</w:t>
      </w:r>
      <w:proofErr w:type="gramEnd"/>
      <w:r w:rsidR="00F21C82" w:rsidRPr="001F2208">
        <w:t xml:space="preserve"> exposure</w:t>
      </w:r>
      <w:r w:rsidR="00004197">
        <w:t>.</w:t>
      </w:r>
    </w:p>
    <w:p w:rsidR="00004197" w:rsidRDefault="00004197" w:rsidP="005C7D91">
      <w:pPr>
        <w:spacing w:line="280" w:lineRule="atLeast"/>
        <w:rPr>
          <w:rFonts w:cs="Arial"/>
          <w:szCs w:val="22"/>
        </w:rPr>
      </w:pPr>
    </w:p>
    <w:p w:rsidR="00F21C82" w:rsidRDefault="0064182A" w:rsidP="005C7D91">
      <w:pPr>
        <w:spacing w:line="280" w:lineRule="atLeast"/>
        <w:rPr>
          <w:rFonts w:cs="Arial"/>
          <w:szCs w:val="22"/>
        </w:rPr>
      </w:pPr>
      <w:r>
        <w:rPr>
          <w:rFonts w:cs="Arial"/>
          <w:szCs w:val="22"/>
        </w:rPr>
        <w:t>For the purposes of reporting adverse reactions in New Zealand, if an event is spontaneously reported, it meets the definition of an adverse event</w:t>
      </w:r>
      <w:r w:rsidR="00004197">
        <w:rPr>
          <w:rFonts w:cs="Arial"/>
          <w:szCs w:val="22"/>
        </w:rPr>
        <w:t>,</w:t>
      </w:r>
      <w:r w:rsidR="00004197" w:rsidRPr="00004197">
        <w:rPr>
          <w:rFonts w:cs="Arial"/>
          <w:szCs w:val="22"/>
        </w:rPr>
        <w:t xml:space="preserve"> </w:t>
      </w:r>
      <w:r w:rsidR="00004197">
        <w:rPr>
          <w:rFonts w:cs="Arial"/>
          <w:szCs w:val="22"/>
        </w:rPr>
        <w:t xml:space="preserve">even if the relationship is unknown or unstated. </w:t>
      </w:r>
    </w:p>
    <w:p w:rsidR="0064182A" w:rsidRDefault="0064182A" w:rsidP="005C7D91">
      <w:pPr>
        <w:spacing w:line="280" w:lineRule="atLeast"/>
        <w:rPr>
          <w:rFonts w:cs="Arial"/>
          <w:szCs w:val="22"/>
        </w:rPr>
      </w:pPr>
    </w:p>
    <w:p w:rsidR="00BF356B" w:rsidRDefault="0064182A" w:rsidP="005C7D91">
      <w:pPr>
        <w:spacing w:line="280" w:lineRule="atLeast"/>
        <w:rPr>
          <w:rFonts w:cs="Arial"/>
          <w:szCs w:val="22"/>
        </w:rPr>
      </w:pPr>
      <w:r>
        <w:rPr>
          <w:rFonts w:cs="Arial"/>
          <w:szCs w:val="22"/>
        </w:rPr>
        <w:t>Therefore</w:t>
      </w:r>
      <w:r w:rsidR="00A42E0E">
        <w:rPr>
          <w:rFonts w:cs="Arial"/>
          <w:szCs w:val="22"/>
        </w:rPr>
        <w:t>,</w:t>
      </w:r>
      <w:r>
        <w:rPr>
          <w:rFonts w:cs="Arial"/>
          <w:szCs w:val="22"/>
        </w:rPr>
        <w:t xml:space="preserve"> all spontaneous reports notified by</w:t>
      </w:r>
      <w:r w:rsidR="00211618">
        <w:rPr>
          <w:rFonts w:cs="Arial"/>
          <w:szCs w:val="22"/>
        </w:rPr>
        <w:t xml:space="preserve"> healthcare professionals or consumers are considered to be suspected adverse reactions, unless the </w:t>
      </w:r>
      <w:r w:rsidR="00211618" w:rsidRPr="00DA3AD8">
        <w:rPr>
          <w:rFonts w:cs="Arial"/>
          <w:szCs w:val="22"/>
          <w:u w:val="single"/>
        </w:rPr>
        <w:t>reporter</w:t>
      </w:r>
      <w:r w:rsidR="00211618">
        <w:rPr>
          <w:rFonts w:cs="Arial"/>
          <w:szCs w:val="22"/>
        </w:rPr>
        <w:t xml:space="preserve"> specifically states that the events are unrelated or that a causal relationship can be excluded. </w:t>
      </w:r>
      <w:r w:rsidR="00004197">
        <w:rPr>
          <w:rFonts w:cs="Arial"/>
          <w:szCs w:val="22"/>
        </w:rPr>
        <w:t>This interpretation is in accordance with the ICH E2D guideline</w:t>
      </w:r>
      <w:r w:rsidR="00D04C1A">
        <w:rPr>
          <w:rFonts w:cs="Arial"/>
          <w:szCs w:val="22"/>
        </w:rPr>
        <w:t xml:space="preserve"> – </w:t>
      </w:r>
      <w:r w:rsidR="00D04C1A" w:rsidRPr="00D04C1A">
        <w:rPr>
          <w:rFonts w:cs="Arial"/>
          <w:i/>
          <w:szCs w:val="22"/>
        </w:rPr>
        <w:t>Post-Approval Safety Data Management: Definitions and Standards for Expedited Reporting</w:t>
      </w:r>
      <w:r w:rsidR="00004197">
        <w:rPr>
          <w:rFonts w:cs="Arial"/>
          <w:szCs w:val="22"/>
        </w:rPr>
        <w:t>.</w:t>
      </w:r>
    </w:p>
    <w:p w:rsidR="00D04C1A" w:rsidRDefault="00D04C1A" w:rsidP="005C7D91">
      <w:pPr>
        <w:spacing w:line="280" w:lineRule="atLeast"/>
        <w:rPr>
          <w:rFonts w:cs="Arial"/>
          <w:szCs w:val="22"/>
        </w:rPr>
      </w:pPr>
      <w:r>
        <w:rPr>
          <w:rFonts w:cs="Arial"/>
          <w:szCs w:val="22"/>
        </w:rPr>
        <w:t>(</w:t>
      </w:r>
      <w:hyperlink r:id="rId31" w:history="1">
        <w:r w:rsidRPr="00B71266">
          <w:rPr>
            <w:rStyle w:val="Hyperlink"/>
            <w:rFonts w:cs="Arial"/>
            <w:sz w:val="22"/>
            <w:szCs w:val="22"/>
          </w:rPr>
          <w:t>http://www.ich.org/fileadmin/Public_Web_Site/ICH_Products/Guidelines/Efficacy/E2E/Step4/E2E_Guideline.pdf</w:t>
        </w:r>
      </w:hyperlink>
      <w:r>
        <w:rPr>
          <w:rFonts w:cs="Arial"/>
          <w:szCs w:val="22"/>
        </w:rPr>
        <w:t>)</w:t>
      </w:r>
    </w:p>
    <w:p w:rsidR="00D04C1A" w:rsidRDefault="00D04C1A" w:rsidP="005C7D91">
      <w:pPr>
        <w:spacing w:line="280" w:lineRule="atLeast"/>
        <w:rPr>
          <w:rFonts w:cs="Arial"/>
          <w:szCs w:val="22"/>
        </w:rPr>
      </w:pPr>
    </w:p>
    <w:p w:rsidR="0064182A" w:rsidRDefault="00211618" w:rsidP="005C7D91">
      <w:pPr>
        <w:spacing w:line="280" w:lineRule="atLeast"/>
        <w:rPr>
          <w:rFonts w:cs="Arial"/>
          <w:szCs w:val="22"/>
        </w:rPr>
      </w:pPr>
      <w:r>
        <w:rPr>
          <w:rFonts w:cs="Arial"/>
          <w:szCs w:val="22"/>
        </w:rPr>
        <w:t xml:space="preserve">Sponsors must report </w:t>
      </w:r>
      <w:r w:rsidR="00A44599">
        <w:rPr>
          <w:rFonts w:cs="Arial"/>
          <w:szCs w:val="22"/>
        </w:rPr>
        <w:t xml:space="preserve">all </w:t>
      </w:r>
      <w:r w:rsidR="00ED5AF8">
        <w:rPr>
          <w:rFonts w:cs="Arial"/>
          <w:szCs w:val="22"/>
        </w:rPr>
        <w:t xml:space="preserve">serious </w:t>
      </w:r>
      <w:r w:rsidR="00A44599">
        <w:rPr>
          <w:rFonts w:cs="Arial"/>
          <w:szCs w:val="22"/>
        </w:rPr>
        <w:t xml:space="preserve">spontaneous reports of </w:t>
      </w:r>
      <w:r>
        <w:rPr>
          <w:rFonts w:cs="Arial"/>
          <w:szCs w:val="22"/>
        </w:rPr>
        <w:t>suspected adverse react</w:t>
      </w:r>
      <w:r w:rsidR="00744D61">
        <w:rPr>
          <w:rFonts w:cs="Arial"/>
          <w:szCs w:val="22"/>
        </w:rPr>
        <w:t>i</w:t>
      </w:r>
      <w:r>
        <w:rPr>
          <w:rFonts w:cs="Arial"/>
          <w:szCs w:val="22"/>
        </w:rPr>
        <w:t>ons even if they disagree with the reporter</w:t>
      </w:r>
      <w:r w:rsidR="00004197">
        <w:rPr>
          <w:rFonts w:cs="Arial"/>
          <w:szCs w:val="22"/>
        </w:rPr>
        <w:t>(</w:t>
      </w:r>
      <w:r>
        <w:rPr>
          <w:rFonts w:cs="Arial"/>
          <w:szCs w:val="22"/>
        </w:rPr>
        <w:t>s</w:t>
      </w:r>
      <w:r w:rsidR="00004197">
        <w:rPr>
          <w:rFonts w:cs="Arial"/>
          <w:szCs w:val="22"/>
        </w:rPr>
        <w:t>)</w:t>
      </w:r>
      <w:r>
        <w:rPr>
          <w:rFonts w:cs="Arial"/>
          <w:szCs w:val="22"/>
        </w:rPr>
        <w:t xml:space="preserve"> assessment</w:t>
      </w:r>
      <w:r w:rsidR="00A44599">
        <w:rPr>
          <w:rFonts w:cs="Arial"/>
          <w:szCs w:val="22"/>
        </w:rPr>
        <w:t xml:space="preserve"> of causality</w:t>
      </w:r>
      <w:r>
        <w:rPr>
          <w:rFonts w:cs="Arial"/>
          <w:szCs w:val="22"/>
        </w:rPr>
        <w:t>.</w:t>
      </w:r>
    </w:p>
    <w:p w:rsidR="00F21C82" w:rsidRDefault="00F21C82" w:rsidP="005C7D91">
      <w:pPr>
        <w:spacing w:line="280" w:lineRule="atLeast"/>
        <w:rPr>
          <w:rFonts w:cs="Arial"/>
          <w:szCs w:val="22"/>
        </w:rPr>
      </w:pPr>
    </w:p>
    <w:p w:rsidR="005F049C" w:rsidRDefault="005F049C" w:rsidP="005C7D91">
      <w:pPr>
        <w:spacing w:line="280" w:lineRule="atLeast"/>
        <w:rPr>
          <w:rFonts w:cs="Arial"/>
          <w:szCs w:val="22"/>
        </w:rPr>
      </w:pPr>
    </w:p>
    <w:p w:rsidR="000B3DF8" w:rsidRDefault="000B3DF8">
      <w:pPr>
        <w:rPr>
          <w:rFonts w:cs="Arial"/>
          <w:b/>
          <w:color w:val="008080"/>
          <w:sz w:val="28"/>
          <w:szCs w:val="32"/>
        </w:rPr>
      </w:pPr>
      <w:bookmarkStart w:id="82" w:name="_Toc414346399"/>
      <w:r>
        <w:br w:type="page"/>
      </w:r>
    </w:p>
    <w:p w:rsidR="00744D61" w:rsidRPr="005F049C" w:rsidRDefault="00744D61" w:rsidP="00744D61">
      <w:pPr>
        <w:pStyle w:val="NoHeading2"/>
        <w:keepNext/>
        <w:spacing w:before="120"/>
        <w:ind w:right="340"/>
      </w:pPr>
      <w:bookmarkStart w:id="83" w:name="_Toc414522788"/>
      <w:r>
        <w:t>3.2</w:t>
      </w:r>
      <w:r>
        <w:tab/>
      </w:r>
      <w:r w:rsidRPr="005F049C">
        <w:t xml:space="preserve">What should be </w:t>
      </w:r>
      <w:proofErr w:type="gramStart"/>
      <w:r w:rsidRPr="005F049C">
        <w:t>reported</w:t>
      </w:r>
      <w:bookmarkEnd w:id="82"/>
      <w:bookmarkEnd w:id="83"/>
      <w:proofErr w:type="gramEnd"/>
    </w:p>
    <w:p w:rsidR="00744D61" w:rsidRDefault="00744D61" w:rsidP="00744D61">
      <w:pPr>
        <w:spacing w:line="280" w:lineRule="atLeast"/>
        <w:rPr>
          <w:rFonts w:cs="Arial"/>
          <w:szCs w:val="22"/>
        </w:rPr>
      </w:pPr>
    </w:p>
    <w:p w:rsidR="006230EF" w:rsidRDefault="00744D61" w:rsidP="00744D61">
      <w:pPr>
        <w:spacing w:line="280" w:lineRule="atLeast"/>
        <w:rPr>
          <w:rFonts w:cs="Arial"/>
          <w:szCs w:val="22"/>
        </w:rPr>
      </w:pPr>
      <w:r>
        <w:rPr>
          <w:rFonts w:cs="Arial"/>
          <w:szCs w:val="22"/>
        </w:rPr>
        <w:t xml:space="preserve">Sponsors are expected to report </w:t>
      </w:r>
      <w:r w:rsidR="000B3DF8">
        <w:rPr>
          <w:rFonts w:cs="Arial"/>
          <w:szCs w:val="22"/>
        </w:rPr>
        <w:t xml:space="preserve">valid case reports </w:t>
      </w:r>
      <w:r>
        <w:rPr>
          <w:rFonts w:cs="Arial"/>
          <w:szCs w:val="22"/>
        </w:rPr>
        <w:t>to CARM</w:t>
      </w:r>
      <w:r w:rsidR="0083070F">
        <w:rPr>
          <w:rFonts w:cs="Arial"/>
          <w:szCs w:val="22"/>
        </w:rPr>
        <w:t>.</w:t>
      </w:r>
    </w:p>
    <w:p w:rsidR="00744D61" w:rsidRPr="006230EF" w:rsidRDefault="006230EF" w:rsidP="006230EF">
      <w:pPr>
        <w:pStyle w:val="ListBullet"/>
        <w:spacing w:before="120" w:after="120"/>
        <w:ind w:left="714" w:hanging="357"/>
      </w:pPr>
      <w:r w:rsidRPr="006230EF">
        <w:t xml:space="preserve"> </w:t>
      </w:r>
      <w:r>
        <w:t>A</w:t>
      </w:r>
      <w:r w:rsidRPr="006230EF">
        <w:t xml:space="preserve">ll </w:t>
      </w:r>
      <w:r w:rsidR="0027421D" w:rsidRPr="006230EF">
        <w:t xml:space="preserve">reports of serious </w:t>
      </w:r>
      <w:r w:rsidRPr="006230EF">
        <w:t>expected and</w:t>
      </w:r>
      <w:r w:rsidR="00ED5AF8">
        <w:t>/or serious</w:t>
      </w:r>
      <w:r w:rsidRPr="006230EF">
        <w:t xml:space="preserve"> unexpected adverse reactions associated with</w:t>
      </w:r>
      <w:r w:rsidR="00744D61" w:rsidRPr="006230EF">
        <w:t>:</w:t>
      </w:r>
    </w:p>
    <w:p w:rsidR="00744D61" w:rsidRPr="005F049C" w:rsidRDefault="00744D61" w:rsidP="0027421D">
      <w:pPr>
        <w:pStyle w:val="ListBullet"/>
        <w:numPr>
          <w:ilvl w:val="1"/>
          <w:numId w:val="4"/>
        </w:numPr>
        <w:spacing w:before="120" w:after="120"/>
      </w:pPr>
      <w:r w:rsidRPr="005F049C">
        <w:t>approved medicines</w:t>
      </w:r>
    </w:p>
    <w:p w:rsidR="00744D61" w:rsidRPr="001F2208" w:rsidRDefault="001E6607" w:rsidP="0027421D">
      <w:pPr>
        <w:pStyle w:val="ListBullet"/>
        <w:numPr>
          <w:ilvl w:val="1"/>
          <w:numId w:val="4"/>
        </w:numPr>
        <w:spacing w:before="120" w:after="120"/>
      </w:pPr>
      <w:proofErr w:type="gramStart"/>
      <w:r>
        <w:t>approved</w:t>
      </w:r>
      <w:proofErr w:type="gramEnd"/>
      <w:r>
        <w:t xml:space="preserve"> </w:t>
      </w:r>
      <w:r w:rsidR="006230EF">
        <w:t>medicine</w:t>
      </w:r>
      <w:r w:rsidR="0027421D">
        <w:t>s</w:t>
      </w:r>
      <w:r w:rsidR="006230EF">
        <w:t xml:space="preserve"> in a</w:t>
      </w:r>
      <w:r w:rsidR="00744D61" w:rsidRPr="005F049C">
        <w:t xml:space="preserve"> blinded </w:t>
      </w:r>
      <w:r w:rsidR="006230EF">
        <w:t xml:space="preserve">study, after the identity of the </w:t>
      </w:r>
      <w:r w:rsidR="00E525DD">
        <w:t xml:space="preserve">suspected </w:t>
      </w:r>
      <w:r w:rsidR="006230EF">
        <w:t xml:space="preserve">medicine has been </w:t>
      </w:r>
      <w:r w:rsidR="0027421D">
        <w:t>determined</w:t>
      </w:r>
      <w:r w:rsidR="0083070F">
        <w:t>.</w:t>
      </w:r>
    </w:p>
    <w:p w:rsidR="0027421D" w:rsidRDefault="0027421D" w:rsidP="0027421D">
      <w:pPr>
        <w:pStyle w:val="ListBullet"/>
      </w:pPr>
      <w:r>
        <w:t xml:space="preserve">All serious </w:t>
      </w:r>
      <w:r w:rsidR="000B3DF8">
        <w:t xml:space="preserve">expected </w:t>
      </w:r>
      <w:r>
        <w:t>and</w:t>
      </w:r>
      <w:r w:rsidR="00ED5AF8">
        <w:t>/or serious</w:t>
      </w:r>
      <w:r>
        <w:t xml:space="preserve"> unexpected reports </w:t>
      </w:r>
      <w:r w:rsidR="00DA3AD8">
        <w:t xml:space="preserve">of adverse reactions </w:t>
      </w:r>
      <w:r>
        <w:t xml:space="preserve">associated with reports from </w:t>
      </w:r>
      <w:r w:rsidRPr="005F049C">
        <w:t>solicited sources</w:t>
      </w:r>
      <w:r>
        <w:t>, where an assessment of causality conducted by the sponsor, the investigator or the reporter</w:t>
      </w:r>
      <w:r w:rsidR="00DD3A8B">
        <w:t xml:space="preserve"> indicates a positive correlation</w:t>
      </w:r>
      <w:r w:rsidR="00500E38">
        <w:t>.</w:t>
      </w:r>
      <w:r w:rsidRPr="005F049C">
        <w:t xml:space="preserve"> </w:t>
      </w:r>
    </w:p>
    <w:p w:rsidR="00744D61" w:rsidRDefault="00744D61" w:rsidP="00744D61">
      <w:pPr>
        <w:spacing w:line="280" w:lineRule="atLeast"/>
        <w:rPr>
          <w:rFonts w:cs="Arial"/>
          <w:szCs w:val="22"/>
        </w:rPr>
      </w:pPr>
      <w:r>
        <w:rPr>
          <w:rFonts w:cs="Arial"/>
          <w:szCs w:val="22"/>
        </w:rPr>
        <w:t xml:space="preserve">Sponsors are not required to report non-serious </w:t>
      </w:r>
      <w:r w:rsidR="00ED5AF8">
        <w:rPr>
          <w:rFonts w:cs="Arial"/>
          <w:szCs w:val="22"/>
        </w:rPr>
        <w:t>adverse reactions</w:t>
      </w:r>
      <w:r>
        <w:rPr>
          <w:rFonts w:cs="Arial"/>
          <w:szCs w:val="22"/>
        </w:rPr>
        <w:t xml:space="preserve">. However, sponsors should </w:t>
      </w:r>
      <w:r w:rsidR="003D2353">
        <w:rPr>
          <w:rFonts w:cs="Arial"/>
          <w:szCs w:val="22"/>
        </w:rPr>
        <w:t xml:space="preserve">be able to provide these reports on request from Medsafe, and </w:t>
      </w:r>
      <w:r>
        <w:rPr>
          <w:rFonts w:cs="Arial"/>
          <w:szCs w:val="22"/>
        </w:rPr>
        <w:t>include these in Periodic Benefit Review Evaluation Reports (PBRERs)</w:t>
      </w:r>
      <w:r w:rsidR="007F0424">
        <w:rPr>
          <w:rFonts w:cs="Arial"/>
          <w:szCs w:val="22"/>
        </w:rPr>
        <w:t>.</w:t>
      </w:r>
      <w:r w:rsidR="006230EF">
        <w:rPr>
          <w:rFonts w:cs="Arial"/>
          <w:szCs w:val="22"/>
        </w:rPr>
        <w:t xml:space="preserve"> </w:t>
      </w:r>
    </w:p>
    <w:p w:rsidR="005F049C" w:rsidRDefault="005F049C" w:rsidP="005C7D91">
      <w:pPr>
        <w:spacing w:line="280" w:lineRule="atLeast"/>
        <w:rPr>
          <w:rFonts w:cs="Arial"/>
          <w:szCs w:val="22"/>
        </w:rPr>
      </w:pPr>
    </w:p>
    <w:p w:rsidR="00E66A95" w:rsidRPr="003D2353" w:rsidRDefault="00E66A95" w:rsidP="003D2353">
      <w:pPr>
        <w:pStyle w:val="NoHeading2"/>
        <w:keepNext/>
        <w:spacing w:before="120"/>
        <w:ind w:left="1134" w:right="340" w:hanging="1134"/>
        <w:rPr>
          <w:sz w:val="24"/>
          <w:szCs w:val="24"/>
        </w:rPr>
      </w:pPr>
      <w:bookmarkStart w:id="84" w:name="_Toc414346400"/>
      <w:bookmarkStart w:id="85" w:name="_Toc414522789"/>
      <w:r w:rsidRPr="003D2353">
        <w:rPr>
          <w:sz w:val="24"/>
          <w:szCs w:val="24"/>
        </w:rPr>
        <w:t>3.2.1</w:t>
      </w:r>
      <w:r w:rsidRPr="003D2353">
        <w:rPr>
          <w:sz w:val="24"/>
          <w:szCs w:val="24"/>
        </w:rPr>
        <w:tab/>
        <w:t>Do NOT report:</w:t>
      </w:r>
      <w:bookmarkEnd w:id="84"/>
      <w:bookmarkEnd w:id="85"/>
    </w:p>
    <w:p w:rsidR="00500E38" w:rsidRPr="00500E38" w:rsidRDefault="00500E38" w:rsidP="00500E38">
      <w:pPr>
        <w:spacing w:line="280" w:lineRule="atLeast"/>
        <w:rPr>
          <w:rFonts w:cs="Arial"/>
          <w:szCs w:val="22"/>
        </w:rPr>
      </w:pPr>
    </w:p>
    <w:p w:rsidR="00E66A95" w:rsidRPr="00D72F67" w:rsidRDefault="00AB4D88" w:rsidP="00500E38">
      <w:pPr>
        <w:pStyle w:val="ListBullet"/>
        <w:spacing w:before="0" w:after="120" w:line="240" w:lineRule="auto"/>
        <w:ind w:left="714" w:hanging="357"/>
      </w:pPr>
      <w:r>
        <w:t>c</w:t>
      </w:r>
      <w:r w:rsidR="00E66A95" w:rsidRPr="00D72F67">
        <w:t>ases occurring outside New Zealand</w:t>
      </w:r>
    </w:p>
    <w:p w:rsidR="00E66A95" w:rsidRPr="00CD3E3A" w:rsidRDefault="00AB4D88" w:rsidP="00DA3AD8">
      <w:pPr>
        <w:pStyle w:val="ListBullet"/>
      </w:pPr>
      <w:r>
        <w:t>c</w:t>
      </w:r>
      <w:r w:rsidR="00E66A95" w:rsidRPr="00D72F67">
        <w:t>linical trial cases for unapproved medicines</w:t>
      </w:r>
      <w:r w:rsidR="00E66A95">
        <w:t xml:space="preserve"> – </w:t>
      </w:r>
      <w:r w:rsidR="00E66A95" w:rsidRPr="00D72F67">
        <w:t xml:space="preserve">the reporting requirements for these cases are specified in </w:t>
      </w:r>
      <w:hyperlink r:id="rId32" w:history="1">
        <w:r w:rsidR="00E66A95" w:rsidRPr="00D04C1A">
          <w:rPr>
            <w:rStyle w:val="Hyperlink"/>
          </w:rPr>
          <w:t>Part 11 of the Guideline for Therapeutic Products in New Zealand</w:t>
        </w:r>
        <w:r w:rsidR="00DA3AD8" w:rsidRPr="00D04C1A">
          <w:rPr>
            <w:rStyle w:val="Hyperlink"/>
          </w:rPr>
          <w:t xml:space="preserve">: </w:t>
        </w:r>
        <w:r w:rsidR="00DA3AD8" w:rsidRPr="00D04C1A">
          <w:rPr>
            <w:rStyle w:val="Hyperlink"/>
            <w:i/>
          </w:rPr>
          <w:t>Clinical trials – regulatory approval and good clinical practice requirements</w:t>
        </w:r>
      </w:hyperlink>
    </w:p>
    <w:p w:rsidR="00E66A95" w:rsidRDefault="00AB4D88" w:rsidP="00E66A95">
      <w:pPr>
        <w:pStyle w:val="ListBullet"/>
        <w:spacing w:before="120" w:after="120"/>
        <w:ind w:left="714" w:hanging="357"/>
      </w:pPr>
      <w:r>
        <w:t>b</w:t>
      </w:r>
      <w:r w:rsidR="00E66A95" w:rsidRPr="00D72F67">
        <w:t>linded clinical trial cases for approved medicines</w:t>
      </w:r>
      <w:r w:rsidR="00E66A95">
        <w:t xml:space="preserve"> </w:t>
      </w:r>
      <w:r w:rsidR="003D2353">
        <w:t xml:space="preserve">when </w:t>
      </w:r>
      <w:r w:rsidR="00E66A95" w:rsidRPr="00D72F67">
        <w:t>the</w:t>
      </w:r>
      <w:r w:rsidR="003D2353">
        <w:t xml:space="preserve"> identity of the </w:t>
      </w:r>
      <w:r w:rsidR="00E525DD">
        <w:t xml:space="preserve">suspected </w:t>
      </w:r>
      <w:r w:rsidR="003D2353">
        <w:t xml:space="preserve">medicine or the patient has not </w:t>
      </w:r>
      <w:r w:rsidR="00E66A95" w:rsidRPr="00D72F67">
        <w:t>been identified</w:t>
      </w:r>
    </w:p>
    <w:p w:rsidR="001E6607" w:rsidRDefault="00AB4D88" w:rsidP="00E66A95">
      <w:pPr>
        <w:pStyle w:val="ListBullet"/>
        <w:spacing w:before="120" w:after="120"/>
        <w:ind w:left="714" w:hanging="357"/>
      </w:pPr>
      <w:r>
        <w:t>n</w:t>
      </w:r>
      <w:r w:rsidR="001E6607">
        <w:t>on-serious reports</w:t>
      </w:r>
    </w:p>
    <w:p w:rsidR="000B3DF8" w:rsidRDefault="00AB4D88" w:rsidP="00E66A95">
      <w:pPr>
        <w:pStyle w:val="ListBullet"/>
        <w:spacing w:before="120" w:after="120"/>
        <w:ind w:left="714" w:hanging="357"/>
      </w:pPr>
      <w:r>
        <w:t>s</w:t>
      </w:r>
      <w:r w:rsidR="001E6607">
        <w:t>olicited reports not considered to have a causal relationship</w:t>
      </w:r>
    </w:p>
    <w:p w:rsidR="001E6607" w:rsidRPr="00D72F67" w:rsidRDefault="000B3DF8" w:rsidP="00E66A95">
      <w:pPr>
        <w:pStyle w:val="ListBullet"/>
        <w:spacing w:before="120" w:after="120"/>
        <w:ind w:left="714" w:hanging="357"/>
      </w:pPr>
      <w:proofErr w:type="gramStart"/>
      <w:r>
        <w:t>reports</w:t>
      </w:r>
      <w:proofErr w:type="gramEnd"/>
      <w:r>
        <w:t xml:space="preserve"> that supply of a medicine to a patient has been terminated, or is no longer required by the patient</w:t>
      </w:r>
      <w:r w:rsidR="001E6607">
        <w:t>.</w:t>
      </w:r>
    </w:p>
    <w:p w:rsidR="00E66A95" w:rsidRDefault="00E66A95" w:rsidP="005C7D91">
      <w:pPr>
        <w:spacing w:line="280" w:lineRule="atLeast"/>
        <w:rPr>
          <w:rFonts w:cs="Arial"/>
          <w:szCs w:val="22"/>
        </w:rPr>
      </w:pPr>
    </w:p>
    <w:p w:rsidR="00744D61" w:rsidRPr="00744D61" w:rsidRDefault="00744D61" w:rsidP="00744D61">
      <w:pPr>
        <w:pStyle w:val="NoHeading2"/>
        <w:keepNext/>
        <w:spacing w:before="120"/>
        <w:ind w:left="1134" w:right="340" w:hanging="1134"/>
        <w:rPr>
          <w:sz w:val="24"/>
          <w:szCs w:val="24"/>
        </w:rPr>
      </w:pPr>
      <w:bookmarkStart w:id="86" w:name="_Toc414346401"/>
      <w:bookmarkStart w:id="87" w:name="_Toc414522790"/>
      <w:r w:rsidRPr="00744D61">
        <w:rPr>
          <w:sz w:val="24"/>
          <w:szCs w:val="24"/>
        </w:rPr>
        <w:t>3.2.</w:t>
      </w:r>
      <w:r w:rsidR="00AB4D88">
        <w:rPr>
          <w:sz w:val="24"/>
          <w:szCs w:val="24"/>
        </w:rPr>
        <w:t>2</w:t>
      </w:r>
      <w:r w:rsidRPr="00744D61">
        <w:rPr>
          <w:sz w:val="24"/>
          <w:szCs w:val="24"/>
        </w:rPr>
        <w:tab/>
        <w:t>Serious Adverse Event / Adverse Reaction</w:t>
      </w:r>
      <w:bookmarkEnd w:id="86"/>
      <w:bookmarkEnd w:id="87"/>
    </w:p>
    <w:p w:rsidR="00744D61" w:rsidRDefault="00744D61" w:rsidP="00744D61">
      <w:pPr>
        <w:rPr>
          <w:rFonts w:cs="Arial"/>
          <w:szCs w:val="22"/>
        </w:rPr>
      </w:pPr>
    </w:p>
    <w:p w:rsidR="00744D61" w:rsidRDefault="00744D61" w:rsidP="00744D61">
      <w:pPr>
        <w:rPr>
          <w:rFonts w:cs="Arial"/>
          <w:szCs w:val="22"/>
        </w:rPr>
      </w:pPr>
      <w:r>
        <w:rPr>
          <w:rFonts w:cs="Arial"/>
          <w:szCs w:val="22"/>
        </w:rPr>
        <w:t>A serious adverse event or adverse reaction is defined in ICH guideline E2D as any untoward medical occurrence that at any dose:</w:t>
      </w:r>
    </w:p>
    <w:p w:rsidR="00744D61" w:rsidRPr="00003E3D" w:rsidRDefault="00AB4D88" w:rsidP="00744D61">
      <w:pPr>
        <w:pStyle w:val="ListBullet"/>
        <w:spacing w:before="120" w:after="120"/>
        <w:ind w:left="714" w:hanging="357"/>
      </w:pPr>
      <w:r>
        <w:t>r</w:t>
      </w:r>
      <w:r w:rsidR="00744D61" w:rsidRPr="00003E3D">
        <w:t>esults in death</w:t>
      </w:r>
    </w:p>
    <w:p w:rsidR="00744D61" w:rsidRDefault="00AB4D88" w:rsidP="00744D61">
      <w:pPr>
        <w:pStyle w:val="ListBullet"/>
        <w:spacing w:before="120" w:after="120"/>
        <w:ind w:left="714" w:hanging="357"/>
      </w:pPr>
      <w:r>
        <w:t>i</w:t>
      </w:r>
      <w:r w:rsidR="00744D61" w:rsidRPr="00003E3D">
        <w:t>s life</w:t>
      </w:r>
      <w:r w:rsidR="00744D61">
        <w:t>-</w:t>
      </w:r>
      <w:r w:rsidR="00744D61" w:rsidRPr="00003E3D">
        <w:t>threatening</w:t>
      </w:r>
    </w:p>
    <w:p w:rsidR="00744D61" w:rsidRDefault="00AB4D88" w:rsidP="00744D61">
      <w:pPr>
        <w:pStyle w:val="ListBullet"/>
        <w:spacing w:before="120" w:after="120"/>
        <w:ind w:left="714" w:hanging="357"/>
      </w:pPr>
      <w:r>
        <w:t>r</w:t>
      </w:r>
      <w:r w:rsidR="00744D61">
        <w:t>equires in-patient hospitalisation or results in prolongation of existing hospitalisation</w:t>
      </w:r>
    </w:p>
    <w:p w:rsidR="00744D61" w:rsidRDefault="00AB4D88" w:rsidP="00744D61">
      <w:pPr>
        <w:pStyle w:val="ListBullet"/>
        <w:spacing w:before="120" w:after="120"/>
        <w:ind w:left="714" w:hanging="357"/>
      </w:pPr>
      <w:r>
        <w:t>r</w:t>
      </w:r>
      <w:r w:rsidR="00744D61">
        <w:t>esults in persistent or significant disability or incapacity</w:t>
      </w:r>
    </w:p>
    <w:p w:rsidR="00744D61" w:rsidRDefault="00AB4D88" w:rsidP="00744D61">
      <w:pPr>
        <w:pStyle w:val="ListBullet"/>
        <w:spacing w:before="120" w:after="120"/>
        <w:ind w:left="714" w:hanging="357"/>
      </w:pPr>
      <w:r>
        <w:t>i</w:t>
      </w:r>
      <w:r w:rsidR="00744D61">
        <w:t>s a congenital anomaly or birth defect</w:t>
      </w:r>
    </w:p>
    <w:p w:rsidR="00744D61" w:rsidRPr="00025F1D" w:rsidRDefault="00AB4D88" w:rsidP="00744D61">
      <w:pPr>
        <w:pStyle w:val="ListBullet"/>
        <w:spacing w:before="120" w:after="120"/>
        <w:ind w:left="714" w:hanging="357"/>
      </w:pPr>
      <w:proofErr w:type="gramStart"/>
      <w:r>
        <w:t>i</w:t>
      </w:r>
      <w:r w:rsidR="00744D61">
        <w:t>s</w:t>
      </w:r>
      <w:proofErr w:type="gramEnd"/>
      <w:r w:rsidR="00744D61">
        <w:t xml:space="preserve"> a medical</w:t>
      </w:r>
      <w:r w:rsidR="003C764C">
        <w:t>ly important event or reaction.</w:t>
      </w:r>
    </w:p>
    <w:p w:rsidR="001470EE" w:rsidRDefault="001470EE" w:rsidP="00744D61">
      <w:pPr>
        <w:rPr>
          <w:rFonts w:cs="Arial"/>
          <w:szCs w:val="22"/>
        </w:rPr>
      </w:pPr>
    </w:p>
    <w:p w:rsidR="001470EE" w:rsidRDefault="001470EE" w:rsidP="00744D61">
      <w:pPr>
        <w:rPr>
          <w:rFonts w:cs="Arial"/>
          <w:szCs w:val="22"/>
        </w:rPr>
      </w:pPr>
      <w:r>
        <w:rPr>
          <w:rFonts w:cs="Arial"/>
          <w:szCs w:val="22"/>
        </w:rPr>
        <w:t>A</w:t>
      </w:r>
      <w:r w:rsidR="00AB4D88">
        <w:rPr>
          <w:rFonts w:cs="Arial"/>
          <w:szCs w:val="22"/>
        </w:rPr>
        <w:t>n</w:t>
      </w:r>
      <w:r>
        <w:rPr>
          <w:rFonts w:cs="Arial"/>
          <w:szCs w:val="22"/>
        </w:rPr>
        <w:t xml:space="preserve"> important </w:t>
      </w:r>
      <w:r w:rsidR="00AB4D88">
        <w:rPr>
          <w:rFonts w:cs="Arial"/>
          <w:szCs w:val="22"/>
        </w:rPr>
        <w:t xml:space="preserve">medical </w:t>
      </w:r>
      <w:r>
        <w:rPr>
          <w:rFonts w:cs="Arial"/>
          <w:szCs w:val="22"/>
        </w:rPr>
        <w:t>event</w:t>
      </w:r>
      <w:r w:rsidR="00AB4D88">
        <w:rPr>
          <w:rFonts w:cs="Arial"/>
          <w:szCs w:val="22"/>
        </w:rPr>
        <w:t xml:space="preserve"> (or IME)</w:t>
      </w:r>
      <w:r>
        <w:rPr>
          <w:rFonts w:cs="Arial"/>
          <w:szCs w:val="22"/>
        </w:rPr>
        <w:t xml:space="preserve"> is considered to be one where intervention of some form is required to prevent a life-threatening situation or death, or where non-intervention is likely to lead to disability, incapacitation, hospitalisation, serious morbidity or birth defect or congenital anomaly.</w:t>
      </w:r>
    </w:p>
    <w:p w:rsidR="00E525DD" w:rsidRDefault="00E525DD" w:rsidP="00744D61">
      <w:pPr>
        <w:rPr>
          <w:rFonts w:cs="Arial"/>
          <w:szCs w:val="22"/>
        </w:rPr>
      </w:pPr>
    </w:p>
    <w:p w:rsidR="00E525DD" w:rsidRDefault="00E525DD" w:rsidP="00744D61">
      <w:pPr>
        <w:rPr>
          <w:rFonts w:cs="Arial"/>
          <w:szCs w:val="22"/>
        </w:rPr>
      </w:pPr>
      <w:r>
        <w:rPr>
          <w:rFonts w:cs="Arial"/>
          <w:szCs w:val="22"/>
        </w:rPr>
        <w:t xml:space="preserve">Medsafe recommends that sponsors follow the European guidance on </w:t>
      </w:r>
      <w:r w:rsidR="00687D8A">
        <w:rPr>
          <w:rFonts w:cs="Arial"/>
          <w:szCs w:val="22"/>
        </w:rPr>
        <w:t>important medical events</w:t>
      </w:r>
      <w:r>
        <w:rPr>
          <w:rFonts w:cs="Arial"/>
          <w:szCs w:val="22"/>
        </w:rPr>
        <w:t xml:space="preserve"> (</w:t>
      </w:r>
      <w:hyperlink r:id="rId33" w:history="1">
        <w:r w:rsidRPr="00640754">
          <w:rPr>
            <w:rStyle w:val="Hyperlink"/>
            <w:rFonts w:cs="Arial"/>
            <w:sz w:val="22"/>
            <w:szCs w:val="22"/>
          </w:rPr>
          <w:t>www.eudravigilance.ema.europa.eu/human/textforIME.asp</w:t>
        </w:r>
      </w:hyperlink>
      <w:r>
        <w:rPr>
          <w:rFonts w:cs="Arial"/>
          <w:szCs w:val="22"/>
        </w:rPr>
        <w:t>).</w:t>
      </w:r>
    </w:p>
    <w:p w:rsidR="00E525DD" w:rsidRPr="00481A9A" w:rsidRDefault="00E525DD" w:rsidP="00481A9A">
      <w:pPr>
        <w:spacing w:line="280" w:lineRule="atLeast"/>
        <w:rPr>
          <w:szCs w:val="22"/>
        </w:rPr>
      </w:pPr>
    </w:p>
    <w:p w:rsidR="00744D61" w:rsidRPr="00BF356B" w:rsidRDefault="00744D61" w:rsidP="00744D61">
      <w:pPr>
        <w:pStyle w:val="NoHeading2"/>
        <w:keepNext/>
        <w:spacing w:before="120"/>
        <w:ind w:left="1134" w:right="340" w:hanging="1134"/>
        <w:rPr>
          <w:sz w:val="24"/>
          <w:szCs w:val="24"/>
        </w:rPr>
      </w:pPr>
      <w:bookmarkStart w:id="88" w:name="_Toc414346402"/>
      <w:bookmarkStart w:id="89" w:name="_Toc414522791"/>
      <w:r w:rsidRPr="00BF356B">
        <w:rPr>
          <w:sz w:val="24"/>
          <w:szCs w:val="24"/>
        </w:rPr>
        <w:t>3.</w:t>
      </w:r>
      <w:r w:rsidR="006230EF">
        <w:rPr>
          <w:sz w:val="24"/>
          <w:szCs w:val="24"/>
        </w:rPr>
        <w:t>2.</w:t>
      </w:r>
      <w:r w:rsidR="001E6B9D">
        <w:rPr>
          <w:sz w:val="24"/>
          <w:szCs w:val="24"/>
        </w:rPr>
        <w:t>3</w:t>
      </w:r>
      <w:r w:rsidRPr="00BF356B">
        <w:rPr>
          <w:sz w:val="24"/>
          <w:szCs w:val="24"/>
        </w:rPr>
        <w:tab/>
        <w:t xml:space="preserve">Non-serious </w:t>
      </w:r>
      <w:r w:rsidR="002D7289">
        <w:rPr>
          <w:sz w:val="24"/>
          <w:szCs w:val="24"/>
        </w:rPr>
        <w:t>a</w:t>
      </w:r>
      <w:r w:rsidRPr="00BF356B">
        <w:rPr>
          <w:sz w:val="24"/>
          <w:szCs w:val="24"/>
        </w:rPr>
        <w:t xml:space="preserve">dverse </w:t>
      </w:r>
      <w:r w:rsidR="002D7289">
        <w:rPr>
          <w:sz w:val="24"/>
          <w:szCs w:val="24"/>
        </w:rPr>
        <w:t>r</w:t>
      </w:r>
      <w:r w:rsidRPr="00BF356B">
        <w:rPr>
          <w:sz w:val="24"/>
          <w:szCs w:val="24"/>
        </w:rPr>
        <w:t>eactions</w:t>
      </w:r>
      <w:bookmarkEnd w:id="88"/>
      <w:bookmarkEnd w:id="89"/>
    </w:p>
    <w:p w:rsidR="00744D61" w:rsidRPr="006D3954" w:rsidRDefault="00744D61" w:rsidP="00744D61">
      <w:pPr>
        <w:rPr>
          <w:rFonts w:cs="Arial"/>
          <w:szCs w:val="22"/>
        </w:rPr>
      </w:pPr>
    </w:p>
    <w:p w:rsidR="00744D61" w:rsidRDefault="00744D61" w:rsidP="00744D61">
      <w:pPr>
        <w:rPr>
          <w:rFonts w:cs="Arial"/>
          <w:szCs w:val="22"/>
        </w:rPr>
      </w:pPr>
      <w:r>
        <w:rPr>
          <w:rFonts w:cs="Arial"/>
          <w:szCs w:val="22"/>
        </w:rPr>
        <w:t>All adverse reactions that do not meet the above definition of a serious adverse reaction are considered to be non-serious adverse reactions. These should not be routinely reported, whether the reactions were expected or not</w:t>
      </w:r>
      <w:r w:rsidR="006230EF">
        <w:rPr>
          <w:rFonts w:cs="Arial"/>
          <w:szCs w:val="22"/>
        </w:rPr>
        <w:t>, and whether the report was a</w:t>
      </w:r>
      <w:r w:rsidR="000B4493">
        <w:rPr>
          <w:rFonts w:cs="Arial"/>
          <w:szCs w:val="22"/>
        </w:rPr>
        <w:t>n</w:t>
      </w:r>
      <w:r w:rsidR="006230EF">
        <w:rPr>
          <w:rFonts w:cs="Arial"/>
          <w:szCs w:val="22"/>
        </w:rPr>
        <w:t xml:space="preserve"> unsolicited or a solicited report.</w:t>
      </w:r>
      <w:r>
        <w:rPr>
          <w:rFonts w:cs="Arial"/>
          <w:szCs w:val="22"/>
        </w:rPr>
        <w:t xml:space="preserve"> </w:t>
      </w:r>
      <w:r w:rsidR="00DD3A8B">
        <w:rPr>
          <w:rFonts w:cs="Arial"/>
          <w:szCs w:val="22"/>
        </w:rPr>
        <w:t xml:space="preserve">The sponsor should record these reports in their database and use them for signal detection and evaluation activities. </w:t>
      </w:r>
      <w:r w:rsidR="006230EF">
        <w:rPr>
          <w:rFonts w:cs="Arial"/>
          <w:szCs w:val="22"/>
        </w:rPr>
        <w:t>These</w:t>
      </w:r>
      <w:r>
        <w:rPr>
          <w:rFonts w:cs="Arial"/>
          <w:szCs w:val="22"/>
        </w:rPr>
        <w:t xml:space="preserve"> should be included in the P</w:t>
      </w:r>
      <w:r w:rsidR="006230EF">
        <w:rPr>
          <w:rFonts w:cs="Arial"/>
          <w:szCs w:val="22"/>
        </w:rPr>
        <w:t>BRER</w:t>
      </w:r>
      <w:r>
        <w:rPr>
          <w:rFonts w:cs="Arial"/>
          <w:szCs w:val="22"/>
        </w:rPr>
        <w:t>, if one is required.</w:t>
      </w:r>
    </w:p>
    <w:p w:rsidR="00744D61" w:rsidRDefault="00744D61" w:rsidP="003C0BDC">
      <w:pPr>
        <w:spacing w:line="280" w:lineRule="atLeast"/>
        <w:rPr>
          <w:szCs w:val="22"/>
        </w:rPr>
      </w:pPr>
    </w:p>
    <w:p w:rsidR="00744D61" w:rsidRPr="0027421D" w:rsidRDefault="00744D61" w:rsidP="0027421D">
      <w:pPr>
        <w:pStyle w:val="NoHeading2"/>
        <w:keepNext/>
        <w:spacing w:before="120"/>
        <w:ind w:left="1134" w:right="340" w:hanging="1134"/>
        <w:rPr>
          <w:sz w:val="24"/>
          <w:szCs w:val="24"/>
        </w:rPr>
      </w:pPr>
      <w:bookmarkStart w:id="90" w:name="_Toc414346403"/>
      <w:bookmarkStart w:id="91" w:name="_Toc414522792"/>
      <w:r w:rsidRPr="0027421D">
        <w:rPr>
          <w:sz w:val="24"/>
          <w:szCs w:val="24"/>
        </w:rPr>
        <w:t>3.</w:t>
      </w:r>
      <w:r w:rsidR="006230EF">
        <w:rPr>
          <w:sz w:val="24"/>
          <w:szCs w:val="24"/>
        </w:rPr>
        <w:t>2.</w:t>
      </w:r>
      <w:r w:rsidR="001E6B9D">
        <w:rPr>
          <w:sz w:val="24"/>
          <w:szCs w:val="24"/>
        </w:rPr>
        <w:t>4</w:t>
      </w:r>
      <w:r w:rsidRPr="0027421D">
        <w:rPr>
          <w:sz w:val="24"/>
          <w:szCs w:val="24"/>
        </w:rPr>
        <w:tab/>
        <w:t xml:space="preserve">Spontaneous </w:t>
      </w:r>
      <w:r w:rsidR="002D7289">
        <w:rPr>
          <w:sz w:val="24"/>
          <w:szCs w:val="24"/>
        </w:rPr>
        <w:t>a</w:t>
      </w:r>
      <w:r w:rsidRPr="0027421D">
        <w:rPr>
          <w:sz w:val="24"/>
          <w:szCs w:val="24"/>
        </w:rPr>
        <w:t xml:space="preserve">dverse </w:t>
      </w:r>
      <w:r w:rsidR="002D7289">
        <w:rPr>
          <w:sz w:val="24"/>
          <w:szCs w:val="24"/>
        </w:rPr>
        <w:t>r</w:t>
      </w:r>
      <w:r w:rsidRPr="0027421D">
        <w:rPr>
          <w:sz w:val="24"/>
          <w:szCs w:val="24"/>
        </w:rPr>
        <w:t xml:space="preserve">eaction </w:t>
      </w:r>
      <w:r w:rsidR="002D7289">
        <w:rPr>
          <w:sz w:val="24"/>
          <w:szCs w:val="24"/>
        </w:rPr>
        <w:t>r</w:t>
      </w:r>
      <w:r w:rsidRPr="0027421D">
        <w:rPr>
          <w:sz w:val="24"/>
          <w:szCs w:val="24"/>
        </w:rPr>
        <w:t>eports (Unsolicited reports)</w:t>
      </w:r>
      <w:bookmarkEnd w:id="90"/>
      <w:bookmarkEnd w:id="91"/>
    </w:p>
    <w:p w:rsidR="00500E38" w:rsidRDefault="00500E38" w:rsidP="00744D61">
      <w:pPr>
        <w:spacing w:line="280" w:lineRule="atLeast"/>
        <w:rPr>
          <w:szCs w:val="22"/>
        </w:rPr>
      </w:pPr>
    </w:p>
    <w:p w:rsidR="00AB4D88" w:rsidRDefault="00744D61" w:rsidP="00744D61">
      <w:pPr>
        <w:spacing w:line="280" w:lineRule="atLeast"/>
        <w:rPr>
          <w:szCs w:val="22"/>
        </w:rPr>
      </w:pPr>
      <w:r w:rsidRPr="003C764C">
        <w:rPr>
          <w:rFonts w:cs="Arial"/>
          <w:szCs w:val="22"/>
        </w:rPr>
        <w:t xml:space="preserve">A spontaneous report is an </w:t>
      </w:r>
      <w:r w:rsidRPr="002D7289">
        <w:rPr>
          <w:rFonts w:cs="Arial"/>
          <w:szCs w:val="22"/>
          <w:u w:val="single"/>
        </w:rPr>
        <w:t>unsolicited</w:t>
      </w:r>
      <w:r w:rsidRPr="003C764C">
        <w:rPr>
          <w:rFonts w:cs="Arial"/>
          <w:szCs w:val="22"/>
        </w:rPr>
        <w:t xml:space="preserve"> communication</w:t>
      </w:r>
      <w:r w:rsidR="003C764C" w:rsidRPr="003C764C">
        <w:rPr>
          <w:rFonts w:cs="Arial"/>
          <w:szCs w:val="22"/>
        </w:rPr>
        <w:t xml:space="preserve"> that describes one or more suspected adverse reactions.</w:t>
      </w:r>
      <w:r w:rsidR="003C764C">
        <w:rPr>
          <w:rFonts w:cs="Arial"/>
          <w:szCs w:val="22"/>
        </w:rPr>
        <w:t xml:space="preserve"> </w:t>
      </w:r>
      <w:r w:rsidR="003C764C">
        <w:rPr>
          <w:szCs w:val="22"/>
        </w:rPr>
        <w:t>Spontaneous reports may be submitted</w:t>
      </w:r>
      <w:r>
        <w:rPr>
          <w:szCs w:val="22"/>
        </w:rPr>
        <w:t xml:space="preserve"> by</w:t>
      </w:r>
      <w:r w:rsidR="00AB4D88">
        <w:rPr>
          <w:szCs w:val="22"/>
        </w:rPr>
        <w:t>:</w:t>
      </w:r>
      <w:r>
        <w:rPr>
          <w:szCs w:val="22"/>
        </w:rPr>
        <w:t xml:space="preserve"> </w:t>
      </w:r>
    </w:p>
    <w:p w:rsidR="00AB4D88" w:rsidRPr="00AB4D88" w:rsidRDefault="00744D61" w:rsidP="00744D61">
      <w:pPr>
        <w:pStyle w:val="ListBullet"/>
        <w:spacing w:before="120" w:after="120" w:line="280" w:lineRule="atLeast"/>
        <w:ind w:left="714" w:hanging="357"/>
        <w:rPr>
          <w:szCs w:val="22"/>
        </w:rPr>
      </w:pPr>
      <w:r w:rsidRPr="00AB4D88">
        <w:t>a healthcare professional</w:t>
      </w:r>
    </w:p>
    <w:p w:rsidR="00AB4D88" w:rsidRPr="00AB4D88" w:rsidRDefault="00744D61" w:rsidP="00744D61">
      <w:pPr>
        <w:pStyle w:val="ListBullet"/>
        <w:spacing w:before="120" w:after="120" w:line="280" w:lineRule="atLeast"/>
        <w:ind w:left="714" w:hanging="357"/>
        <w:rPr>
          <w:szCs w:val="22"/>
        </w:rPr>
      </w:pPr>
      <w:r w:rsidRPr="00AB4D88">
        <w:t>a consumer</w:t>
      </w:r>
    </w:p>
    <w:p w:rsidR="00AB4D88" w:rsidRPr="00AB4D88" w:rsidRDefault="00744D61" w:rsidP="00744D61">
      <w:pPr>
        <w:pStyle w:val="ListBullet"/>
        <w:spacing w:before="120" w:after="120" w:line="280" w:lineRule="atLeast"/>
        <w:ind w:left="714" w:hanging="357"/>
        <w:rPr>
          <w:szCs w:val="22"/>
        </w:rPr>
      </w:pPr>
      <w:r w:rsidRPr="00AB4D88">
        <w:t>a medicines regulator</w:t>
      </w:r>
    </w:p>
    <w:p w:rsidR="00AB4D88" w:rsidRPr="00AB4D88" w:rsidRDefault="00744D61" w:rsidP="00744D61">
      <w:pPr>
        <w:pStyle w:val="ListBullet"/>
        <w:spacing w:before="120" w:after="120" w:line="280" w:lineRule="atLeast"/>
        <w:ind w:left="714" w:hanging="357"/>
        <w:rPr>
          <w:szCs w:val="22"/>
        </w:rPr>
      </w:pPr>
      <w:r w:rsidRPr="00AB4D88">
        <w:t>an international body</w:t>
      </w:r>
    </w:p>
    <w:p w:rsidR="00AB4D88" w:rsidRDefault="00744D61" w:rsidP="00744D61">
      <w:pPr>
        <w:pStyle w:val="ListBullet"/>
        <w:spacing w:before="120" w:after="120" w:line="280" w:lineRule="atLeast"/>
        <w:ind w:left="714" w:hanging="357"/>
        <w:rPr>
          <w:szCs w:val="22"/>
        </w:rPr>
      </w:pPr>
      <w:r w:rsidRPr="00AB4D88">
        <w:t>a</w:t>
      </w:r>
      <w:r w:rsidRPr="00AB4D88">
        <w:rPr>
          <w:szCs w:val="22"/>
        </w:rPr>
        <w:t xml:space="preserve"> sponsor</w:t>
      </w:r>
    </w:p>
    <w:p w:rsidR="00AB4D88" w:rsidRDefault="00744D61" w:rsidP="00744D61">
      <w:pPr>
        <w:pStyle w:val="ListBullet"/>
        <w:spacing w:before="120" w:after="120" w:line="280" w:lineRule="atLeast"/>
        <w:ind w:left="714" w:hanging="357"/>
        <w:rPr>
          <w:szCs w:val="22"/>
        </w:rPr>
      </w:pPr>
      <w:r w:rsidRPr="00AB4D88">
        <w:rPr>
          <w:szCs w:val="22"/>
        </w:rPr>
        <w:t xml:space="preserve">an organisation </w:t>
      </w:r>
      <w:r w:rsidR="00AB4D88">
        <w:rPr>
          <w:szCs w:val="22"/>
        </w:rPr>
        <w:t>(</w:t>
      </w:r>
      <w:proofErr w:type="spellStart"/>
      <w:r w:rsidR="003C764C">
        <w:rPr>
          <w:szCs w:val="22"/>
        </w:rPr>
        <w:t>eg</w:t>
      </w:r>
      <w:proofErr w:type="spellEnd"/>
      <w:r w:rsidR="003C764C">
        <w:rPr>
          <w:szCs w:val="22"/>
        </w:rPr>
        <w:t>,</w:t>
      </w:r>
      <w:r w:rsidRPr="00AB4D88">
        <w:rPr>
          <w:szCs w:val="22"/>
        </w:rPr>
        <w:t xml:space="preserve"> the New Zealand Poisons Centre or a </w:t>
      </w:r>
      <w:r w:rsidR="004779C7">
        <w:rPr>
          <w:szCs w:val="22"/>
        </w:rPr>
        <w:t>d</w:t>
      </w:r>
      <w:r w:rsidRPr="00AB4D88">
        <w:rPr>
          <w:szCs w:val="22"/>
        </w:rPr>
        <w:t xml:space="preserve">istrict </w:t>
      </w:r>
      <w:r w:rsidR="004779C7">
        <w:rPr>
          <w:szCs w:val="22"/>
        </w:rPr>
        <w:t>h</w:t>
      </w:r>
      <w:r w:rsidRPr="00AB4D88">
        <w:rPr>
          <w:szCs w:val="22"/>
        </w:rPr>
        <w:t xml:space="preserve">ealth </w:t>
      </w:r>
      <w:r w:rsidR="004779C7">
        <w:rPr>
          <w:szCs w:val="22"/>
        </w:rPr>
        <w:t>b</w:t>
      </w:r>
      <w:r w:rsidRPr="00AB4D88">
        <w:rPr>
          <w:szCs w:val="22"/>
        </w:rPr>
        <w:t>oard</w:t>
      </w:r>
      <w:r w:rsidR="00AB4D88">
        <w:rPr>
          <w:szCs w:val="22"/>
        </w:rPr>
        <w:t>)</w:t>
      </w:r>
      <w:r w:rsidRPr="00AB4D88">
        <w:rPr>
          <w:szCs w:val="22"/>
        </w:rPr>
        <w:t xml:space="preserve"> </w:t>
      </w:r>
    </w:p>
    <w:p w:rsidR="00ED5AF8" w:rsidRDefault="00ED5AF8" w:rsidP="00744D61">
      <w:pPr>
        <w:pStyle w:val="ListBullet"/>
        <w:spacing w:before="120" w:after="120" w:line="280" w:lineRule="atLeast"/>
        <w:ind w:left="714" w:hanging="357"/>
        <w:rPr>
          <w:szCs w:val="22"/>
        </w:rPr>
      </w:pPr>
      <w:proofErr w:type="gramStart"/>
      <w:r>
        <w:rPr>
          <w:szCs w:val="22"/>
        </w:rPr>
        <w:t>the</w:t>
      </w:r>
      <w:proofErr w:type="gramEnd"/>
      <w:r>
        <w:rPr>
          <w:szCs w:val="22"/>
        </w:rPr>
        <w:t xml:space="preserve"> Judicial system (</w:t>
      </w:r>
      <w:proofErr w:type="spellStart"/>
      <w:r>
        <w:rPr>
          <w:szCs w:val="22"/>
        </w:rPr>
        <w:t>eg</w:t>
      </w:r>
      <w:proofErr w:type="spellEnd"/>
      <w:r>
        <w:rPr>
          <w:szCs w:val="22"/>
        </w:rPr>
        <w:t>, Coroner, Police, legal processes)</w:t>
      </w:r>
      <w:r w:rsidR="002D2771">
        <w:rPr>
          <w:szCs w:val="22"/>
        </w:rPr>
        <w:t>.</w:t>
      </w:r>
    </w:p>
    <w:p w:rsidR="00744D61" w:rsidRDefault="00744D61" w:rsidP="00744D61">
      <w:pPr>
        <w:spacing w:line="280" w:lineRule="atLeast"/>
        <w:rPr>
          <w:szCs w:val="22"/>
        </w:rPr>
      </w:pPr>
    </w:p>
    <w:p w:rsidR="00744D61" w:rsidRDefault="00744D61" w:rsidP="00744D61">
      <w:pPr>
        <w:spacing w:line="280" w:lineRule="atLeast"/>
        <w:rPr>
          <w:szCs w:val="22"/>
        </w:rPr>
      </w:pPr>
      <w:r w:rsidRPr="008911E4">
        <w:rPr>
          <w:rFonts w:cs="Arial"/>
          <w:szCs w:val="22"/>
        </w:rPr>
        <w:t>S</w:t>
      </w:r>
      <w:r w:rsidRPr="008E20AE">
        <w:rPr>
          <w:szCs w:val="22"/>
        </w:rPr>
        <w:t xml:space="preserve">pontaneous reporting of </w:t>
      </w:r>
      <w:r>
        <w:rPr>
          <w:szCs w:val="22"/>
        </w:rPr>
        <w:t xml:space="preserve">adverse </w:t>
      </w:r>
      <w:r w:rsidRPr="008E20AE">
        <w:rPr>
          <w:szCs w:val="22"/>
        </w:rPr>
        <w:t xml:space="preserve">events or reactions is usually initiated by a suspicion that observed signs and symptoms could have been caused by a medicine. </w:t>
      </w:r>
    </w:p>
    <w:p w:rsidR="00744D61" w:rsidRDefault="00744D61" w:rsidP="00744D61">
      <w:pPr>
        <w:spacing w:line="280" w:lineRule="atLeast"/>
        <w:rPr>
          <w:szCs w:val="22"/>
        </w:rPr>
      </w:pPr>
    </w:p>
    <w:p w:rsidR="0027421D" w:rsidRDefault="0027421D" w:rsidP="00744D61">
      <w:pPr>
        <w:spacing w:line="280" w:lineRule="atLeast"/>
        <w:rPr>
          <w:szCs w:val="22"/>
        </w:rPr>
      </w:pPr>
      <w:r>
        <w:rPr>
          <w:szCs w:val="22"/>
        </w:rPr>
        <w:t>Unsolicited consumer reports should be treated as spontaneous reports irrespective of any subsequent medical confirmation.</w:t>
      </w:r>
    </w:p>
    <w:p w:rsidR="0027421D" w:rsidRDefault="0027421D" w:rsidP="00744D61">
      <w:pPr>
        <w:spacing w:line="280" w:lineRule="atLeast"/>
        <w:rPr>
          <w:szCs w:val="22"/>
        </w:rPr>
      </w:pPr>
    </w:p>
    <w:p w:rsidR="00744D61" w:rsidRDefault="00744D61" w:rsidP="00744D61">
      <w:pPr>
        <w:spacing w:line="280" w:lineRule="atLeast"/>
        <w:rPr>
          <w:szCs w:val="22"/>
        </w:rPr>
      </w:pPr>
      <w:r>
        <w:rPr>
          <w:szCs w:val="22"/>
        </w:rPr>
        <w:t>Stimulated reporting, such as following media coverage of an incident or the issu</w:t>
      </w:r>
      <w:r w:rsidR="00734DC4">
        <w:rPr>
          <w:szCs w:val="22"/>
        </w:rPr>
        <w:t>ing</w:t>
      </w:r>
      <w:r>
        <w:rPr>
          <w:szCs w:val="22"/>
        </w:rPr>
        <w:t xml:space="preserve"> of a Dear Healthcare Professional communication, </w:t>
      </w:r>
      <w:r w:rsidR="00AB4D88">
        <w:rPr>
          <w:szCs w:val="22"/>
        </w:rPr>
        <w:t>are</w:t>
      </w:r>
      <w:r>
        <w:rPr>
          <w:szCs w:val="22"/>
        </w:rPr>
        <w:t xml:space="preserve"> considered to be spontaneous reports.</w:t>
      </w:r>
    </w:p>
    <w:p w:rsidR="007B5344" w:rsidRDefault="007B5344" w:rsidP="00744D61">
      <w:pPr>
        <w:spacing w:line="280" w:lineRule="atLeast"/>
        <w:rPr>
          <w:szCs w:val="22"/>
        </w:rPr>
      </w:pPr>
    </w:p>
    <w:p w:rsidR="0027421D" w:rsidRPr="0027421D" w:rsidRDefault="00734DC4" w:rsidP="0027421D">
      <w:pPr>
        <w:pStyle w:val="NoHeading2"/>
        <w:keepNext/>
        <w:spacing w:before="120"/>
        <w:ind w:left="1134" w:right="340" w:hanging="1134"/>
        <w:rPr>
          <w:sz w:val="24"/>
          <w:szCs w:val="24"/>
        </w:rPr>
      </w:pPr>
      <w:bookmarkStart w:id="92" w:name="_Toc414346404"/>
      <w:bookmarkStart w:id="93" w:name="_Toc414522793"/>
      <w:r>
        <w:rPr>
          <w:sz w:val="24"/>
          <w:szCs w:val="24"/>
        </w:rPr>
        <w:t>3.2.5</w:t>
      </w:r>
      <w:r w:rsidR="0027421D">
        <w:rPr>
          <w:sz w:val="24"/>
          <w:szCs w:val="24"/>
        </w:rPr>
        <w:tab/>
      </w:r>
      <w:r w:rsidR="0027421D" w:rsidRPr="0027421D">
        <w:rPr>
          <w:sz w:val="24"/>
          <w:szCs w:val="24"/>
        </w:rPr>
        <w:t xml:space="preserve">Solicited </w:t>
      </w:r>
      <w:r w:rsidR="002D7289">
        <w:rPr>
          <w:sz w:val="24"/>
          <w:szCs w:val="24"/>
        </w:rPr>
        <w:t>r</w:t>
      </w:r>
      <w:r w:rsidR="0027421D" w:rsidRPr="0027421D">
        <w:rPr>
          <w:sz w:val="24"/>
          <w:szCs w:val="24"/>
        </w:rPr>
        <w:t>eports</w:t>
      </w:r>
      <w:bookmarkEnd w:id="92"/>
      <w:bookmarkEnd w:id="93"/>
    </w:p>
    <w:p w:rsidR="00500E38" w:rsidRDefault="00500E38" w:rsidP="0027421D">
      <w:pPr>
        <w:spacing w:line="280" w:lineRule="atLeast"/>
        <w:rPr>
          <w:szCs w:val="22"/>
        </w:rPr>
      </w:pPr>
    </w:p>
    <w:p w:rsidR="0027421D" w:rsidRDefault="00734DC4" w:rsidP="0027421D">
      <w:pPr>
        <w:spacing w:line="280" w:lineRule="atLeast"/>
        <w:rPr>
          <w:szCs w:val="22"/>
        </w:rPr>
      </w:pPr>
      <w:r>
        <w:rPr>
          <w:szCs w:val="22"/>
        </w:rPr>
        <w:t>A</w:t>
      </w:r>
      <w:r w:rsidR="00744D61">
        <w:rPr>
          <w:szCs w:val="22"/>
        </w:rPr>
        <w:t>dverse events report</w:t>
      </w:r>
      <w:r w:rsidR="00DD3A8B">
        <w:rPr>
          <w:szCs w:val="22"/>
        </w:rPr>
        <w:t>s</w:t>
      </w:r>
      <w:r w:rsidR="00744D61">
        <w:rPr>
          <w:szCs w:val="22"/>
        </w:rPr>
        <w:t xml:space="preserve"> </w:t>
      </w:r>
      <w:r>
        <w:rPr>
          <w:szCs w:val="22"/>
        </w:rPr>
        <w:t xml:space="preserve">that are </w:t>
      </w:r>
      <w:r w:rsidR="00744D61">
        <w:rPr>
          <w:szCs w:val="22"/>
        </w:rPr>
        <w:t xml:space="preserve">actively sought </w:t>
      </w:r>
      <w:r>
        <w:rPr>
          <w:szCs w:val="22"/>
        </w:rPr>
        <w:t xml:space="preserve">from studies or organised data collection systems </w:t>
      </w:r>
      <w:r w:rsidR="00744D61">
        <w:rPr>
          <w:szCs w:val="22"/>
        </w:rPr>
        <w:t>are not spontaneous reports.</w:t>
      </w:r>
      <w:r w:rsidR="0027421D">
        <w:rPr>
          <w:szCs w:val="22"/>
        </w:rPr>
        <w:t xml:space="preserve"> </w:t>
      </w:r>
      <w:r>
        <w:rPr>
          <w:szCs w:val="22"/>
        </w:rPr>
        <w:t xml:space="preserve">These are solicited reports. </w:t>
      </w:r>
      <w:r w:rsidR="0027421D">
        <w:rPr>
          <w:szCs w:val="22"/>
        </w:rPr>
        <w:t xml:space="preserve">Examples </w:t>
      </w:r>
      <w:r w:rsidR="00DD3A8B">
        <w:rPr>
          <w:szCs w:val="22"/>
        </w:rPr>
        <w:t>of solicited sources include</w:t>
      </w:r>
      <w:r w:rsidR="0027421D">
        <w:rPr>
          <w:szCs w:val="22"/>
        </w:rPr>
        <w:t xml:space="preserve"> patient support and disease management programmes, </w:t>
      </w:r>
      <w:r w:rsidR="00AB4D88">
        <w:rPr>
          <w:szCs w:val="22"/>
        </w:rPr>
        <w:t xml:space="preserve">and </w:t>
      </w:r>
      <w:r w:rsidR="0027421D">
        <w:rPr>
          <w:szCs w:val="22"/>
        </w:rPr>
        <w:t xml:space="preserve">surveys of patients or healthcare providers. </w:t>
      </w:r>
      <w:r w:rsidR="001E6607">
        <w:rPr>
          <w:szCs w:val="22"/>
        </w:rPr>
        <w:t>Valid reports of</w:t>
      </w:r>
      <w:r w:rsidR="0027421D">
        <w:rPr>
          <w:szCs w:val="22"/>
        </w:rPr>
        <w:t xml:space="preserve"> serious </w:t>
      </w:r>
      <w:r w:rsidR="008E0F88">
        <w:rPr>
          <w:szCs w:val="22"/>
        </w:rPr>
        <w:t>adverse reactions</w:t>
      </w:r>
      <w:r w:rsidR="00AA28FD">
        <w:rPr>
          <w:szCs w:val="22"/>
        </w:rPr>
        <w:t>,</w:t>
      </w:r>
      <w:r w:rsidR="008E0F88">
        <w:rPr>
          <w:szCs w:val="22"/>
        </w:rPr>
        <w:t xml:space="preserve"> </w:t>
      </w:r>
      <w:r w:rsidR="001E6607">
        <w:rPr>
          <w:szCs w:val="22"/>
        </w:rPr>
        <w:t xml:space="preserve">where a </w:t>
      </w:r>
      <w:r w:rsidR="00AB4D88">
        <w:rPr>
          <w:szCs w:val="22"/>
        </w:rPr>
        <w:t xml:space="preserve">positive </w:t>
      </w:r>
      <w:r w:rsidR="001E6607">
        <w:rPr>
          <w:szCs w:val="22"/>
        </w:rPr>
        <w:t>causal association</w:t>
      </w:r>
      <w:r w:rsidR="00AA28FD">
        <w:rPr>
          <w:szCs w:val="22"/>
        </w:rPr>
        <w:t xml:space="preserve"> to a suspected medicine</w:t>
      </w:r>
      <w:r w:rsidR="001E6607">
        <w:rPr>
          <w:szCs w:val="22"/>
        </w:rPr>
        <w:t xml:space="preserve"> </w:t>
      </w:r>
      <w:r w:rsidR="00AA28FD">
        <w:rPr>
          <w:szCs w:val="22"/>
        </w:rPr>
        <w:t xml:space="preserve">has been assessed, </w:t>
      </w:r>
      <w:r w:rsidR="008E0F88">
        <w:rPr>
          <w:szCs w:val="22"/>
        </w:rPr>
        <w:t>should be reported to CARM</w:t>
      </w:r>
      <w:r w:rsidR="001E6607">
        <w:rPr>
          <w:szCs w:val="22"/>
        </w:rPr>
        <w:t>.</w:t>
      </w:r>
    </w:p>
    <w:p w:rsidR="0027421D" w:rsidRPr="00481A9A" w:rsidRDefault="0027421D" w:rsidP="003C0BDC">
      <w:pPr>
        <w:spacing w:line="280" w:lineRule="atLeast"/>
        <w:rPr>
          <w:rFonts w:cs="Arial"/>
          <w:szCs w:val="22"/>
        </w:rPr>
      </w:pPr>
    </w:p>
    <w:p w:rsidR="007F0424" w:rsidRPr="00481A9A" w:rsidRDefault="007F0424" w:rsidP="00481A9A">
      <w:pPr>
        <w:spacing w:line="280" w:lineRule="atLeast"/>
        <w:rPr>
          <w:rFonts w:cs="Arial"/>
          <w:szCs w:val="22"/>
        </w:rPr>
      </w:pPr>
    </w:p>
    <w:p w:rsidR="000C6B40" w:rsidRDefault="000C6B40" w:rsidP="000C6B40">
      <w:pPr>
        <w:pStyle w:val="NoHeading2"/>
        <w:keepNext/>
        <w:spacing w:before="120"/>
        <w:ind w:right="340"/>
      </w:pPr>
      <w:bookmarkStart w:id="94" w:name="_Toc414346405"/>
      <w:bookmarkStart w:id="95" w:name="_Toc414522794"/>
      <w:r>
        <w:t>3.</w:t>
      </w:r>
      <w:r w:rsidR="0027421D">
        <w:t>3</w:t>
      </w:r>
      <w:r>
        <w:tab/>
        <w:t>Reporting process</w:t>
      </w:r>
      <w:bookmarkEnd w:id="94"/>
      <w:bookmarkEnd w:id="95"/>
    </w:p>
    <w:p w:rsidR="000C6B40" w:rsidRPr="00E66A95" w:rsidRDefault="000C6B40" w:rsidP="00E66A95">
      <w:pPr>
        <w:spacing w:line="280" w:lineRule="atLeast"/>
        <w:rPr>
          <w:szCs w:val="22"/>
        </w:rPr>
      </w:pPr>
    </w:p>
    <w:p w:rsidR="00BF356B" w:rsidRPr="000C6B40" w:rsidRDefault="008E0F88" w:rsidP="000C6B40">
      <w:pPr>
        <w:pStyle w:val="NoHeading2"/>
        <w:keepNext/>
        <w:spacing w:before="120"/>
        <w:ind w:left="1134" w:right="340" w:hanging="1134"/>
        <w:rPr>
          <w:sz w:val="24"/>
          <w:szCs w:val="24"/>
        </w:rPr>
      </w:pPr>
      <w:bookmarkStart w:id="96" w:name="_Toc414346406"/>
      <w:bookmarkStart w:id="97" w:name="_Toc414522795"/>
      <w:r>
        <w:rPr>
          <w:sz w:val="24"/>
          <w:szCs w:val="24"/>
        </w:rPr>
        <w:t>3.3</w:t>
      </w:r>
      <w:r w:rsidR="000C6B40" w:rsidRPr="000C6B40">
        <w:rPr>
          <w:sz w:val="24"/>
          <w:szCs w:val="24"/>
        </w:rPr>
        <w:t>.1</w:t>
      </w:r>
      <w:r w:rsidR="000C6B40" w:rsidRPr="000C6B40">
        <w:rPr>
          <w:sz w:val="24"/>
          <w:szCs w:val="24"/>
        </w:rPr>
        <w:tab/>
      </w:r>
      <w:r w:rsidR="00BF356B" w:rsidRPr="000C6B40">
        <w:rPr>
          <w:sz w:val="24"/>
          <w:szCs w:val="24"/>
        </w:rPr>
        <w:t>Collection of reports</w:t>
      </w:r>
      <w:bookmarkEnd w:id="96"/>
      <w:bookmarkEnd w:id="97"/>
    </w:p>
    <w:p w:rsidR="00BF356B" w:rsidRDefault="00BF356B" w:rsidP="003C0BDC">
      <w:pPr>
        <w:spacing w:line="280" w:lineRule="atLeast"/>
        <w:rPr>
          <w:szCs w:val="22"/>
        </w:rPr>
      </w:pPr>
    </w:p>
    <w:p w:rsidR="00BF356B" w:rsidRDefault="00BF356B" w:rsidP="003C0BDC">
      <w:pPr>
        <w:spacing w:line="280" w:lineRule="atLeast"/>
        <w:rPr>
          <w:szCs w:val="22"/>
        </w:rPr>
      </w:pPr>
      <w:r>
        <w:rPr>
          <w:szCs w:val="22"/>
        </w:rPr>
        <w:t xml:space="preserve">Sponsors should take appropriate measures to collect and collate all reports of suspected adverse reactions </w:t>
      </w:r>
      <w:r w:rsidR="000C6B40">
        <w:rPr>
          <w:szCs w:val="22"/>
        </w:rPr>
        <w:t>associated with</w:t>
      </w:r>
      <w:r w:rsidR="003C764C">
        <w:rPr>
          <w:szCs w:val="22"/>
        </w:rPr>
        <w:t xml:space="preserve"> their</w:t>
      </w:r>
      <w:r w:rsidR="000C6B40">
        <w:rPr>
          <w:szCs w:val="22"/>
        </w:rPr>
        <w:t xml:space="preserve"> medicines originating from unsolicited and solicited sources. For this purpose, </w:t>
      </w:r>
      <w:r w:rsidR="008E0F88">
        <w:rPr>
          <w:szCs w:val="22"/>
        </w:rPr>
        <w:t xml:space="preserve">sponsors should establish </w:t>
      </w:r>
      <w:r w:rsidR="000C6B40">
        <w:rPr>
          <w:szCs w:val="22"/>
        </w:rPr>
        <w:t xml:space="preserve">a </w:t>
      </w:r>
      <w:proofErr w:type="spellStart"/>
      <w:r w:rsidR="000C6B40">
        <w:rPr>
          <w:szCs w:val="22"/>
        </w:rPr>
        <w:t>pharmacovigilance</w:t>
      </w:r>
      <w:proofErr w:type="spellEnd"/>
      <w:r w:rsidR="000C6B40">
        <w:rPr>
          <w:szCs w:val="22"/>
        </w:rPr>
        <w:t xml:space="preserve"> system </w:t>
      </w:r>
      <w:r w:rsidR="008E0F88">
        <w:rPr>
          <w:szCs w:val="22"/>
        </w:rPr>
        <w:t xml:space="preserve">that will allow </w:t>
      </w:r>
      <w:r w:rsidR="000C6B40">
        <w:rPr>
          <w:szCs w:val="22"/>
        </w:rPr>
        <w:t>the acquisition of sufficient information for the evaluation of these reports.</w:t>
      </w:r>
    </w:p>
    <w:p w:rsidR="000C6B40" w:rsidRDefault="000C6B40" w:rsidP="003C0BDC">
      <w:pPr>
        <w:spacing w:line="280" w:lineRule="atLeast"/>
        <w:rPr>
          <w:szCs w:val="22"/>
        </w:rPr>
      </w:pPr>
    </w:p>
    <w:p w:rsidR="0017593B" w:rsidRDefault="0017593B" w:rsidP="0017593B">
      <w:pPr>
        <w:spacing w:line="280" w:lineRule="atLeast"/>
        <w:rPr>
          <w:szCs w:val="22"/>
        </w:rPr>
      </w:pPr>
      <w:r>
        <w:rPr>
          <w:szCs w:val="22"/>
        </w:rPr>
        <w:t>Where the sponsor is aware that the suspected adverse reaction may also have been reported to another body (</w:t>
      </w:r>
      <w:proofErr w:type="spellStart"/>
      <w:r w:rsidR="00AA28FD">
        <w:rPr>
          <w:szCs w:val="22"/>
        </w:rPr>
        <w:t>eg</w:t>
      </w:r>
      <w:proofErr w:type="spellEnd"/>
      <w:r w:rsidR="00AA28FD">
        <w:rPr>
          <w:szCs w:val="22"/>
        </w:rPr>
        <w:t xml:space="preserve">, a </w:t>
      </w:r>
      <w:r w:rsidR="002D2771">
        <w:rPr>
          <w:szCs w:val="22"/>
        </w:rPr>
        <w:t>d</w:t>
      </w:r>
      <w:r w:rsidR="00AA28FD">
        <w:rPr>
          <w:szCs w:val="22"/>
        </w:rPr>
        <w:t xml:space="preserve">istrict </w:t>
      </w:r>
      <w:r w:rsidR="002D2771">
        <w:rPr>
          <w:szCs w:val="22"/>
        </w:rPr>
        <w:t>h</w:t>
      </w:r>
      <w:r w:rsidR="00AA28FD">
        <w:rPr>
          <w:szCs w:val="22"/>
        </w:rPr>
        <w:t xml:space="preserve">ealth </w:t>
      </w:r>
      <w:r w:rsidR="002D2771">
        <w:rPr>
          <w:szCs w:val="22"/>
        </w:rPr>
        <w:t>b</w:t>
      </w:r>
      <w:r w:rsidR="00AA28FD">
        <w:rPr>
          <w:szCs w:val="22"/>
        </w:rPr>
        <w:t>oard</w:t>
      </w:r>
      <w:r>
        <w:rPr>
          <w:szCs w:val="22"/>
        </w:rPr>
        <w:t xml:space="preserve"> or the National Poisons Centre), the report should still be considered to be a valid I</w:t>
      </w:r>
      <w:r w:rsidR="00D20D58">
        <w:rPr>
          <w:szCs w:val="22"/>
        </w:rPr>
        <w:t xml:space="preserve">ndividual </w:t>
      </w:r>
      <w:r>
        <w:rPr>
          <w:szCs w:val="22"/>
        </w:rPr>
        <w:t>C</w:t>
      </w:r>
      <w:r w:rsidR="00D20D58">
        <w:rPr>
          <w:szCs w:val="22"/>
        </w:rPr>
        <w:t xml:space="preserve">ase Safety </w:t>
      </w:r>
      <w:r>
        <w:rPr>
          <w:szCs w:val="22"/>
        </w:rPr>
        <w:t>R</w:t>
      </w:r>
      <w:r w:rsidR="00D20D58">
        <w:rPr>
          <w:szCs w:val="22"/>
        </w:rPr>
        <w:t>eport (ICSR)</w:t>
      </w:r>
      <w:r>
        <w:rPr>
          <w:szCs w:val="22"/>
        </w:rPr>
        <w:t xml:space="preserve"> and should be forwarded to CARM.</w:t>
      </w:r>
      <w:r w:rsidR="00ED5AF8">
        <w:rPr>
          <w:szCs w:val="22"/>
        </w:rPr>
        <w:t xml:space="preserve"> </w:t>
      </w:r>
      <w:r w:rsidR="002D2771">
        <w:rPr>
          <w:szCs w:val="22"/>
        </w:rPr>
        <w:t>Where possible the name of the a</w:t>
      </w:r>
      <w:r w:rsidR="00ED5AF8">
        <w:rPr>
          <w:szCs w:val="22"/>
        </w:rPr>
        <w:t>gency should be mentioned to facilitate the identification of potential duplicate repo</w:t>
      </w:r>
      <w:r w:rsidR="000B3DF8">
        <w:rPr>
          <w:szCs w:val="22"/>
        </w:rPr>
        <w:t>rting.</w:t>
      </w:r>
    </w:p>
    <w:p w:rsidR="001E6607" w:rsidRDefault="001E6607" w:rsidP="003C0BDC">
      <w:pPr>
        <w:spacing w:line="280" w:lineRule="atLeast"/>
        <w:rPr>
          <w:szCs w:val="22"/>
        </w:rPr>
      </w:pPr>
    </w:p>
    <w:p w:rsidR="000C6B40" w:rsidRPr="000C6B40" w:rsidRDefault="008E0F88" w:rsidP="000C6B40">
      <w:pPr>
        <w:pStyle w:val="NoHeading2"/>
        <w:keepNext/>
        <w:spacing w:before="120"/>
        <w:ind w:left="1134" w:right="340" w:hanging="1134"/>
        <w:rPr>
          <w:sz w:val="24"/>
          <w:szCs w:val="24"/>
        </w:rPr>
      </w:pPr>
      <w:bookmarkStart w:id="98" w:name="_Toc414346407"/>
      <w:bookmarkStart w:id="99" w:name="_Toc414522796"/>
      <w:r>
        <w:rPr>
          <w:sz w:val="24"/>
          <w:szCs w:val="24"/>
        </w:rPr>
        <w:t>3.3</w:t>
      </w:r>
      <w:r w:rsidR="00136570">
        <w:rPr>
          <w:sz w:val="24"/>
          <w:szCs w:val="24"/>
        </w:rPr>
        <w:t>.2</w:t>
      </w:r>
      <w:r w:rsidR="000C6B40">
        <w:rPr>
          <w:sz w:val="24"/>
          <w:szCs w:val="24"/>
        </w:rPr>
        <w:tab/>
      </w:r>
      <w:r w:rsidR="000C6B40" w:rsidRPr="000C6B40">
        <w:rPr>
          <w:sz w:val="24"/>
          <w:szCs w:val="24"/>
        </w:rPr>
        <w:t>Validation of reports</w:t>
      </w:r>
      <w:bookmarkEnd w:id="98"/>
      <w:bookmarkEnd w:id="99"/>
    </w:p>
    <w:p w:rsidR="000C6B40" w:rsidRDefault="000C6B40" w:rsidP="003C0BDC">
      <w:pPr>
        <w:spacing w:line="280" w:lineRule="atLeast"/>
        <w:rPr>
          <w:szCs w:val="22"/>
        </w:rPr>
      </w:pPr>
    </w:p>
    <w:p w:rsidR="008E0F88" w:rsidRDefault="0017593B" w:rsidP="008E0F88">
      <w:pPr>
        <w:spacing w:line="280" w:lineRule="atLeast"/>
        <w:rPr>
          <w:szCs w:val="22"/>
        </w:rPr>
      </w:pPr>
      <w:r>
        <w:rPr>
          <w:szCs w:val="22"/>
        </w:rPr>
        <w:t xml:space="preserve">An ICSR refers to the format and content of one or more suspected adverse reactions in relation to a medicine that occur in a single patient/consumer at a specific point in time. </w:t>
      </w:r>
      <w:r w:rsidR="000C6B40">
        <w:rPr>
          <w:szCs w:val="22"/>
        </w:rPr>
        <w:t>Only valid ICSRs sh</w:t>
      </w:r>
      <w:r w:rsidR="007D61C2">
        <w:rPr>
          <w:szCs w:val="22"/>
        </w:rPr>
        <w:t>o</w:t>
      </w:r>
      <w:r w:rsidR="000C6B40">
        <w:rPr>
          <w:szCs w:val="22"/>
        </w:rPr>
        <w:t xml:space="preserve">uld be reported. </w:t>
      </w:r>
    </w:p>
    <w:p w:rsidR="00A44599" w:rsidRDefault="00A44599" w:rsidP="008E0F88">
      <w:pPr>
        <w:spacing w:line="280" w:lineRule="atLeast"/>
        <w:rPr>
          <w:szCs w:val="22"/>
        </w:rPr>
      </w:pPr>
    </w:p>
    <w:p w:rsidR="000C6B40" w:rsidRDefault="000C6B40" w:rsidP="003C0BDC">
      <w:pPr>
        <w:spacing w:line="280" w:lineRule="atLeast"/>
        <w:rPr>
          <w:szCs w:val="22"/>
        </w:rPr>
      </w:pPr>
      <w:r>
        <w:rPr>
          <w:szCs w:val="22"/>
        </w:rPr>
        <w:t xml:space="preserve">Sponsors </w:t>
      </w:r>
      <w:r w:rsidR="007D61C2">
        <w:rPr>
          <w:szCs w:val="22"/>
        </w:rPr>
        <w:t>should attempt to follow up cases where necessary</w:t>
      </w:r>
      <w:r w:rsidR="00004197">
        <w:rPr>
          <w:szCs w:val="22"/>
        </w:rPr>
        <w:t xml:space="preserve"> to obtain info</w:t>
      </w:r>
      <w:r w:rsidR="007D61C2">
        <w:rPr>
          <w:szCs w:val="22"/>
        </w:rPr>
        <w:t>r</w:t>
      </w:r>
      <w:r w:rsidR="00004197">
        <w:rPr>
          <w:szCs w:val="22"/>
        </w:rPr>
        <w:t>m</w:t>
      </w:r>
      <w:r w:rsidR="007D61C2">
        <w:rPr>
          <w:szCs w:val="22"/>
        </w:rPr>
        <w:t>ation that meets the minimum criteria for reporting. A valid report contains:</w:t>
      </w:r>
    </w:p>
    <w:p w:rsidR="00AB4D88" w:rsidRDefault="00A80C38" w:rsidP="00004197">
      <w:pPr>
        <w:pStyle w:val="ListBullet"/>
        <w:spacing w:before="120" w:after="120"/>
        <w:ind w:left="714" w:hanging="357"/>
      </w:pPr>
      <w:r>
        <w:t>a</w:t>
      </w:r>
      <w:r w:rsidR="00004197" w:rsidRPr="00004197">
        <w:t>n identifiable reporter (or reporters) characterised by qualification</w:t>
      </w:r>
      <w:r w:rsidR="00AB4D88">
        <w:t>, for example:</w:t>
      </w:r>
      <w:r w:rsidR="00004197" w:rsidRPr="00004197">
        <w:t xml:space="preserve"> </w:t>
      </w:r>
    </w:p>
    <w:p w:rsidR="00AB4D88" w:rsidRDefault="00004197" w:rsidP="00AB4D88">
      <w:pPr>
        <w:pStyle w:val="ListBullet"/>
        <w:numPr>
          <w:ilvl w:val="1"/>
          <w:numId w:val="4"/>
        </w:numPr>
        <w:spacing w:before="120" w:after="120"/>
      </w:pPr>
      <w:r w:rsidRPr="00004197">
        <w:t xml:space="preserve">physician, consumer </w:t>
      </w:r>
      <w:proofErr w:type="spellStart"/>
      <w:r w:rsidR="002D2771">
        <w:t>etc</w:t>
      </w:r>
      <w:proofErr w:type="spellEnd"/>
    </w:p>
    <w:p w:rsidR="00AB4D88" w:rsidRDefault="00004197" w:rsidP="00AB4D88">
      <w:pPr>
        <w:pStyle w:val="ListBullet"/>
        <w:numPr>
          <w:ilvl w:val="1"/>
          <w:numId w:val="4"/>
        </w:numPr>
        <w:spacing w:before="120" w:after="120"/>
      </w:pPr>
      <w:r w:rsidRPr="00004197">
        <w:t xml:space="preserve">name </w:t>
      </w:r>
    </w:p>
    <w:p w:rsidR="00AB4D88" w:rsidRDefault="00004197" w:rsidP="00AB4D88">
      <w:pPr>
        <w:pStyle w:val="ListBullet"/>
        <w:numPr>
          <w:ilvl w:val="1"/>
          <w:numId w:val="4"/>
        </w:numPr>
        <w:spacing w:before="120" w:after="120"/>
      </w:pPr>
      <w:r w:rsidRPr="00004197">
        <w:t xml:space="preserve">initials </w:t>
      </w:r>
    </w:p>
    <w:p w:rsidR="00AB4D88" w:rsidRDefault="00004197" w:rsidP="00AB4D88">
      <w:pPr>
        <w:pStyle w:val="ListBullet"/>
        <w:numPr>
          <w:ilvl w:val="1"/>
          <w:numId w:val="4"/>
        </w:numPr>
        <w:spacing w:before="120" w:after="120"/>
      </w:pPr>
      <w:proofErr w:type="gramStart"/>
      <w:r w:rsidRPr="00004197">
        <w:t>address</w:t>
      </w:r>
      <w:proofErr w:type="gramEnd"/>
      <w:r w:rsidR="0083070F">
        <w:t>.</w:t>
      </w:r>
      <w:r w:rsidRPr="00004197">
        <w:t xml:space="preserve"> </w:t>
      </w:r>
    </w:p>
    <w:p w:rsidR="00004197" w:rsidRPr="00744D61" w:rsidRDefault="00004197" w:rsidP="00A80C38">
      <w:pPr>
        <w:pStyle w:val="ListBullet"/>
        <w:numPr>
          <w:ilvl w:val="0"/>
          <w:numId w:val="0"/>
        </w:numPr>
        <w:spacing w:before="120" w:after="120"/>
        <w:ind w:left="709" w:firstLine="5"/>
      </w:pPr>
      <w:r w:rsidRPr="00004197">
        <w:t xml:space="preserve">Whenever possible, </w:t>
      </w:r>
      <w:r w:rsidRPr="005F049C">
        <w:t>contact details should be record</w:t>
      </w:r>
      <w:r w:rsidR="00A80C38">
        <w:t xml:space="preserve">ed so that follow-up activities </w:t>
      </w:r>
      <w:r w:rsidRPr="005F049C">
        <w:t>can be performed</w:t>
      </w:r>
      <w:r w:rsidR="00A80C38">
        <w:t>.</w:t>
      </w:r>
    </w:p>
    <w:p w:rsidR="00A80C38" w:rsidRDefault="00A80C38" w:rsidP="00004197">
      <w:pPr>
        <w:pStyle w:val="ListBullet"/>
        <w:spacing w:before="120" w:after="120"/>
        <w:ind w:left="714" w:hanging="357"/>
      </w:pPr>
      <w:r>
        <w:t>o</w:t>
      </w:r>
      <w:r w:rsidR="00004197" w:rsidRPr="00744D61">
        <w:t>ne single identifiable patient characterised by</w:t>
      </w:r>
      <w:r w:rsidR="00AA28FD">
        <w:t xml:space="preserve"> one or more of the following</w:t>
      </w:r>
      <w:r>
        <w:t>:</w:t>
      </w:r>
      <w:r w:rsidR="00004197" w:rsidRPr="00744D61">
        <w:t xml:space="preserve"> </w:t>
      </w:r>
    </w:p>
    <w:p w:rsidR="00A80C38" w:rsidRDefault="0083070F" w:rsidP="00A80C38">
      <w:pPr>
        <w:pStyle w:val="ListBullet"/>
        <w:numPr>
          <w:ilvl w:val="1"/>
          <w:numId w:val="4"/>
        </w:numPr>
        <w:spacing w:before="120" w:after="120"/>
      </w:pPr>
      <w:r>
        <w:t>i</w:t>
      </w:r>
      <w:r w:rsidR="00004197" w:rsidRPr="00744D61">
        <w:t>nitials</w:t>
      </w:r>
    </w:p>
    <w:p w:rsidR="00A80C38" w:rsidRDefault="0083070F" w:rsidP="00A80C38">
      <w:pPr>
        <w:pStyle w:val="ListBullet"/>
        <w:numPr>
          <w:ilvl w:val="1"/>
          <w:numId w:val="4"/>
        </w:numPr>
        <w:spacing w:before="120" w:after="120"/>
      </w:pPr>
      <w:r>
        <w:t>p</w:t>
      </w:r>
      <w:r w:rsidR="00004197" w:rsidRPr="00744D61">
        <w:t>atient identification number</w:t>
      </w:r>
    </w:p>
    <w:p w:rsidR="00A80C38" w:rsidRDefault="0083070F" w:rsidP="00A80C38">
      <w:pPr>
        <w:pStyle w:val="ListBullet"/>
        <w:numPr>
          <w:ilvl w:val="1"/>
          <w:numId w:val="4"/>
        </w:numPr>
        <w:spacing w:before="120" w:after="120"/>
      </w:pPr>
      <w:r>
        <w:t>d</w:t>
      </w:r>
      <w:r w:rsidR="00004197" w:rsidRPr="00744D61">
        <w:t>ate of birth</w:t>
      </w:r>
    </w:p>
    <w:p w:rsidR="00004197" w:rsidRDefault="0083070F" w:rsidP="00A80C38">
      <w:pPr>
        <w:pStyle w:val="ListBullet"/>
        <w:numPr>
          <w:ilvl w:val="1"/>
          <w:numId w:val="4"/>
        </w:numPr>
        <w:spacing w:before="120" w:after="120"/>
      </w:pPr>
      <w:proofErr w:type="gramStart"/>
      <w:r>
        <w:t>a</w:t>
      </w:r>
      <w:r w:rsidR="00004197" w:rsidRPr="00744D61">
        <w:t>ge</w:t>
      </w:r>
      <w:proofErr w:type="gramEnd"/>
      <w:r w:rsidR="00001EF2">
        <w:t xml:space="preserve"> or </w:t>
      </w:r>
      <w:r w:rsidR="00004197" w:rsidRPr="00744D61">
        <w:t>age group</w:t>
      </w:r>
      <w:r w:rsidR="00001EF2">
        <w:t xml:space="preserve"> or </w:t>
      </w:r>
      <w:r w:rsidR="00004197" w:rsidRPr="00744D61">
        <w:t>gender</w:t>
      </w:r>
      <w:r>
        <w:t>.</w:t>
      </w:r>
    </w:p>
    <w:p w:rsidR="00004197" w:rsidRDefault="00A80C38" w:rsidP="00004197">
      <w:pPr>
        <w:pStyle w:val="ListBullet"/>
        <w:spacing w:before="120" w:after="120"/>
        <w:ind w:left="714" w:hanging="357"/>
      </w:pPr>
      <w:r>
        <w:t>o</w:t>
      </w:r>
      <w:r w:rsidR="00004197">
        <w:t>ne or more suspected medicine(s)</w:t>
      </w:r>
    </w:p>
    <w:p w:rsidR="00004197" w:rsidRPr="00004197" w:rsidRDefault="00A80C38" w:rsidP="00004197">
      <w:pPr>
        <w:pStyle w:val="ListBullet"/>
        <w:spacing w:before="120" w:after="120"/>
        <w:ind w:left="714" w:hanging="357"/>
      </w:pPr>
      <w:proofErr w:type="gramStart"/>
      <w:r>
        <w:t>o</w:t>
      </w:r>
      <w:r w:rsidR="00004197">
        <w:t>ne</w:t>
      </w:r>
      <w:proofErr w:type="gramEnd"/>
      <w:r w:rsidR="00004197">
        <w:t xml:space="preserve"> or more suspected reaction(s).</w:t>
      </w:r>
    </w:p>
    <w:p w:rsidR="00004197" w:rsidRDefault="00004197" w:rsidP="003C0BDC">
      <w:pPr>
        <w:spacing w:line="280" w:lineRule="atLeast"/>
        <w:rPr>
          <w:szCs w:val="22"/>
        </w:rPr>
      </w:pPr>
    </w:p>
    <w:p w:rsidR="00004197" w:rsidRDefault="005F049C" w:rsidP="003C0BDC">
      <w:pPr>
        <w:spacing w:line="280" w:lineRule="atLeast"/>
        <w:rPr>
          <w:szCs w:val="22"/>
        </w:rPr>
      </w:pPr>
      <w:r>
        <w:rPr>
          <w:szCs w:val="22"/>
        </w:rPr>
        <w:t xml:space="preserve">The lack of any of these four items invalidates the case and it should not be reported. </w:t>
      </w:r>
      <w:r w:rsidR="00D20D58">
        <w:rPr>
          <w:szCs w:val="22"/>
        </w:rPr>
        <w:t>However</w:t>
      </w:r>
      <w:r w:rsidR="003D2E03">
        <w:rPr>
          <w:szCs w:val="22"/>
        </w:rPr>
        <w:t>, i</w:t>
      </w:r>
      <w:r>
        <w:rPr>
          <w:szCs w:val="22"/>
        </w:rPr>
        <w:t xml:space="preserve">nvalid cases should be recorded in the sponsor’s </w:t>
      </w:r>
      <w:proofErr w:type="spellStart"/>
      <w:r>
        <w:rPr>
          <w:szCs w:val="22"/>
        </w:rPr>
        <w:t>pharmacovigilance</w:t>
      </w:r>
      <w:proofErr w:type="spellEnd"/>
      <w:r>
        <w:rPr>
          <w:szCs w:val="22"/>
        </w:rPr>
        <w:t xml:space="preserve"> system for use in </w:t>
      </w:r>
      <w:r w:rsidR="00136570">
        <w:rPr>
          <w:szCs w:val="22"/>
        </w:rPr>
        <w:t xml:space="preserve">product </w:t>
      </w:r>
      <w:r>
        <w:rPr>
          <w:szCs w:val="22"/>
        </w:rPr>
        <w:t>safety evaluation activities.</w:t>
      </w:r>
    </w:p>
    <w:p w:rsidR="005F049C" w:rsidRDefault="005F049C" w:rsidP="003C0BDC">
      <w:pPr>
        <w:spacing w:line="280" w:lineRule="atLeast"/>
        <w:rPr>
          <w:szCs w:val="22"/>
        </w:rPr>
      </w:pPr>
    </w:p>
    <w:p w:rsidR="00136570" w:rsidRPr="000C6B40" w:rsidRDefault="00136570" w:rsidP="00136570">
      <w:pPr>
        <w:pStyle w:val="NoHeading2"/>
        <w:keepNext/>
        <w:spacing w:before="120"/>
        <w:ind w:left="1134" w:right="340" w:hanging="1134"/>
        <w:rPr>
          <w:sz w:val="24"/>
          <w:szCs w:val="24"/>
        </w:rPr>
      </w:pPr>
      <w:bookmarkStart w:id="100" w:name="_Toc414346408"/>
      <w:bookmarkStart w:id="101" w:name="_Toc414522797"/>
      <w:r>
        <w:rPr>
          <w:sz w:val="24"/>
          <w:szCs w:val="24"/>
        </w:rPr>
        <w:t>3.3.3</w:t>
      </w:r>
      <w:r>
        <w:rPr>
          <w:sz w:val="24"/>
          <w:szCs w:val="24"/>
        </w:rPr>
        <w:tab/>
      </w:r>
      <w:r w:rsidRPr="000C6B40">
        <w:rPr>
          <w:sz w:val="24"/>
          <w:szCs w:val="24"/>
        </w:rPr>
        <w:t>Follow-up of reports</w:t>
      </w:r>
      <w:bookmarkEnd w:id="100"/>
      <w:bookmarkEnd w:id="101"/>
    </w:p>
    <w:p w:rsidR="00136570" w:rsidRDefault="00136570" w:rsidP="00136570">
      <w:pPr>
        <w:spacing w:line="280" w:lineRule="atLeast"/>
        <w:rPr>
          <w:szCs w:val="22"/>
        </w:rPr>
      </w:pPr>
    </w:p>
    <w:p w:rsidR="0000483E" w:rsidRDefault="00136570" w:rsidP="00136570">
      <w:pPr>
        <w:spacing w:line="280" w:lineRule="atLeast"/>
        <w:rPr>
          <w:szCs w:val="22"/>
        </w:rPr>
      </w:pPr>
      <w:r>
        <w:rPr>
          <w:szCs w:val="22"/>
        </w:rPr>
        <w:t xml:space="preserve">The information in suspected adverse reaction reports may be incomplete on first receipt. </w:t>
      </w:r>
      <w:r w:rsidR="000B3DF8">
        <w:rPr>
          <w:szCs w:val="22"/>
        </w:rPr>
        <w:t>Incomplete reports should be followed up as necessary. Follow-up of incomplete reports</w:t>
      </w:r>
      <w:r>
        <w:rPr>
          <w:szCs w:val="22"/>
        </w:rPr>
        <w:t xml:space="preserve"> is particularly important for prospective reports of exposure during pregnancy, reports of death and reports of new safety concerns. </w:t>
      </w:r>
      <w:r w:rsidR="0000483E">
        <w:rPr>
          <w:szCs w:val="22"/>
        </w:rPr>
        <w:t>For example, if “death/sudden death” is the only detail contained in the report and no causal association to a suspected medicine(s) has been attributed by the reporter, the report should not be reported to CARM until further detail is available which informs suspicion that the death might be due to the suspected medicine(s).</w:t>
      </w:r>
    </w:p>
    <w:p w:rsidR="0000483E" w:rsidRDefault="0000483E" w:rsidP="00136570">
      <w:pPr>
        <w:spacing w:line="280" w:lineRule="atLeast"/>
        <w:rPr>
          <w:szCs w:val="22"/>
        </w:rPr>
      </w:pPr>
    </w:p>
    <w:p w:rsidR="00136570" w:rsidRDefault="00136570" w:rsidP="00136570">
      <w:pPr>
        <w:spacing w:line="280" w:lineRule="atLeast"/>
        <w:rPr>
          <w:szCs w:val="22"/>
        </w:rPr>
      </w:pPr>
      <w:r>
        <w:rPr>
          <w:szCs w:val="22"/>
        </w:rPr>
        <w:t xml:space="preserve">If incomplete information is received directly from a consumer, sponsors should make attempts to </w:t>
      </w:r>
      <w:r w:rsidR="00001EF2">
        <w:rPr>
          <w:szCs w:val="22"/>
        </w:rPr>
        <w:t xml:space="preserve">contact the consumer directly or </w:t>
      </w:r>
      <w:r>
        <w:rPr>
          <w:szCs w:val="22"/>
        </w:rPr>
        <w:t>obtain consent to contact a nominated healthcare professional for further information.</w:t>
      </w:r>
    </w:p>
    <w:p w:rsidR="00136570" w:rsidRPr="00E66A95" w:rsidRDefault="00136570" w:rsidP="00136570">
      <w:pPr>
        <w:spacing w:line="280" w:lineRule="atLeast"/>
        <w:rPr>
          <w:szCs w:val="22"/>
        </w:rPr>
      </w:pPr>
    </w:p>
    <w:p w:rsidR="00136570" w:rsidRDefault="00136570" w:rsidP="00136570">
      <w:pPr>
        <w:spacing w:line="280" w:lineRule="atLeast"/>
        <w:rPr>
          <w:szCs w:val="22"/>
        </w:rPr>
      </w:pPr>
      <w:r w:rsidRPr="00E66A95">
        <w:rPr>
          <w:szCs w:val="22"/>
        </w:rPr>
        <w:t>Where sponsors receive significant additional information for a case</w:t>
      </w:r>
      <w:r>
        <w:rPr>
          <w:szCs w:val="22"/>
        </w:rPr>
        <w:t xml:space="preserve"> already reported to CARM</w:t>
      </w:r>
      <w:r w:rsidRPr="00E66A95">
        <w:rPr>
          <w:szCs w:val="22"/>
        </w:rPr>
        <w:t xml:space="preserve">, </w:t>
      </w:r>
      <w:r>
        <w:rPr>
          <w:szCs w:val="22"/>
        </w:rPr>
        <w:t>s</w:t>
      </w:r>
      <w:r w:rsidRPr="00E66A95">
        <w:rPr>
          <w:szCs w:val="22"/>
        </w:rPr>
        <w:t xml:space="preserve">ponsors should quote the CARM reference number and the date of the original report when sending further information. </w:t>
      </w:r>
      <w:r w:rsidR="002D2771">
        <w:rPr>
          <w:szCs w:val="22"/>
        </w:rPr>
        <w:t>S</w:t>
      </w:r>
      <w:r w:rsidRPr="00E66A95">
        <w:rPr>
          <w:szCs w:val="22"/>
        </w:rPr>
        <w:t>ponsors must clearly identify the additional information being forwarded.</w:t>
      </w:r>
    </w:p>
    <w:p w:rsidR="00136570" w:rsidRDefault="00136570" w:rsidP="00136570">
      <w:pPr>
        <w:spacing w:line="280" w:lineRule="atLeast"/>
        <w:rPr>
          <w:szCs w:val="22"/>
        </w:rPr>
      </w:pPr>
    </w:p>
    <w:p w:rsidR="00211618" w:rsidRDefault="00211618" w:rsidP="003C0BDC">
      <w:pPr>
        <w:spacing w:line="280" w:lineRule="atLeast"/>
        <w:rPr>
          <w:szCs w:val="22"/>
        </w:rPr>
      </w:pPr>
    </w:p>
    <w:p w:rsidR="00211618" w:rsidRPr="008E0F88" w:rsidRDefault="008E0F88" w:rsidP="00CB09A1">
      <w:pPr>
        <w:pStyle w:val="NoHeading2"/>
        <w:keepNext/>
        <w:spacing w:before="120"/>
        <w:ind w:right="340"/>
      </w:pPr>
      <w:bookmarkStart w:id="102" w:name="_Toc414346409"/>
      <w:bookmarkStart w:id="103" w:name="_Toc414522798"/>
      <w:r>
        <w:t>3.4</w:t>
      </w:r>
      <w:r>
        <w:tab/>
      </w:r>
      <w:r w:rsidRPr="008E0F88">
        <w:t>Reporting timeframe</w:t>
      </w:r>
      <w:r>
        <w:t>s</w:t>
      </w:r>
      <w:r w:rsidR="002D7289">
        <w:t xml:space="preserve"> for adverse reaction reports</w:t>
      </w:r>
      <w:bookmarkEnd w:id="102"/>
      <w:bookmarkEnd w:id="103"/>
    </w:p>
    <w:p w:rsidR="00603FB7" w:rsidRDefault="00603FB7" w:rsidP="000255B4">
      <w:pPr>
        <w:rPr>
          <w:rFonts w:cs="Arial"/>
          <w:szCs w:val="22"/>
        </w:rPr>
      </w:pPr>
    </w:p>
    <w:p w:rsidR="003D2E03" w:rsidRDefault="003D2E03" w:rsidP="003D2E03">
      <w:pPr>
        <w:spacing w:line="280" w:lineRule="atLeast"/>
        <w:rPr>
          <w:rFonts w:cs="Arial"/>
          <w:szCs w:val="22"/>
        </w:rPr>
      </w:pPr>
      <w:r>
        <w:rPr>
          <w:rFonts w:cs="Arial"/>
          <w:szCs w:val="22"/>
        </w:rPr>
        <w:t xml:space="preserve">Serious </w:t>
      </w:r>
      <w:r w:rsidR="00ED5AF8">
        <w:rPr>
          <w:rFonts w:cs="Arial"/>
          <w:szCs w:val="22"/>
        </w:rPr>
        <w:t xml:space="preserve">expected </w:t>
      </w:r>
      <w:r>
        <w:rPr>
          <w:rFonts w:cs="Arial"/>
          <w:szCs w:val="22"/>
        </w:rPr>
        <w:t xml:space="preserve">and </w:t>
      </w:r>
      <w:r w:rsidR="000B3DF8">
        <w:rPr>
          <w:rFonts w:cs="Arial"/>
          <w:szCs w:val="22"/>
        </w:rPr>
        <w:t xml:space="preserve">serious </w:t>
      </w:r>
      <w:r>
        <w:rPr>
          <w:rFonts w:cs="Arial"/>
          <w:szCs w:val="22"/>
        </w:rPr>
        <w:t xml:space="preserve">unexpected adverse </w:t>
      </w:r>
      <w:r w:rsidR="00AA28FD">
        <w:rPr>
          <w:rFonts w:cs="Arial"/>
          <w:szCs w:val="22"/>
        </w:rPr>
        <w:t xml:space="preserve">valid ICSRs </w:t>
      </w:r>
      <w:r>
        <w:rPr>
          <w:rFonts w:cs="Arial"/>
          <w:szCs w:val="22"/>
        </w:rPr>
        <w:t xml:space="preserve">should be </w:t>
      </w:r>
      <w:r w:rsidR="00AA28FD">
        <w:rPr>
          <w:rFonts w:cs="Arial"/>
          <w:szCs w:val="22"/>
        </w:rPr>
        <w:t>submitted to CARM</w:t>
      </w:r>
      <w:r>
        <w:rPr>
          <w:rFonts w:cs="Arial"/>
          <w:szCs w:val="22"/>
        </w:rPr>
        <w:t xml:space="preserve"> within 15 calendar days from receipt of the information. In cases where the sponsor has a good reason to expect that significant additional information on a</w:t>
      </w:r>
      <w:r w:rsidR="00AA28FD">
        <w:rPr>
          <w:rFonts w:cs="Arial"/>
          <w:szCs w:val="22"/>
        </w:rPr>
        <w:t xml:space="preserve"> valid</w:t>
      </w:r>
      <w:r>
        <w:rPr>
          <w:rFonts w:cs="Arial"/>
          <w:szCs w:val="22"/>
        </w:rPr>
        <w:t xml:space="preserve"> ICSR will be available </w:t>
      </w:r>
      <w:r w:rsidR="00001EF2">
        <w:rPr>
          <w:rFonts w:cs="Arial"/>
          <w:szCs w:val="22"/>
        </w:rPr>
        <w:t>shortly after</w:t>
      </w:r>
      <w:r>
        <w:rPr>
          <w:rFonts w:cs="Arial"/>
          <w:szCs w:val="22"/>
        </w:rPr>
        <w:t xml:space="preserve"> 15 calendar days, it is acceptable to delay initial reporting of the case in order to incorporate the additional information.</w:t>
      </w:r>
    </w:p>
    <w:p w:rsidR="003D2E03" w:rsidRDefault="003D2E03" w:rsidP="003D2E03">
      <w:pPr>
        <w:rPr>
          <w:rFonts w:cs="Arial"/>
          <w:szCs w:val="22"/>
        </w:rPr>
      </w:pPr>
    </w:p>
    <w:p w:rsidR="003D2E03" w:rsidRPr="006D3954" w:rsidRDefault="003D2E03" w:rsidP="003D2E03">
      <w:pPr>
        <w:rPr>
          <w:rFonts w:cs="Arial"/>
          <w:szCs w:val="22"/>
        </w:rPr>
      </w:pPr>
      <w:r>
        <w:rPr>
          <w:rFonts w:cs="Arial"/>
          <w:szCs w:val="22"/>
        </w:rPr>
        <w:t>Where a report was origina</w:t>
      </w:r>
      <w:r w:rsidR="00D20D58">
        <w:rPr>
          <w:rFonts w:cs="Arial"/>
          <w:szCs w:val="22"/>
        </w:rPr>
        <w:t>lly classified as ‘non-serious’</w:t>
      </w:r>
      <w:r>
        <w:rPr>
          <w:rFonts w:cs="Arial"/>
          <w:szCs w:val="22"/>
        </w:rPr>
        <w:t xml:space="preserve"> and later information, such as revi</w:t>
      </w:r>
      <w:r w:rsidR="00D20D58">
        <w:rPr>
          <w:rFonts w:cs="Arial"/>
          <w:szCs w:val="22"/>
        </w:rPr>
        <w:t>ew by a healthcare professional</w:t>
      </w:r>
      <w:r>
        <w:rPr>
          <w:rFonts w:cs="Arial"/>
          <w:szCs w:val="22"/>
        </w:rPr>
        <w:t xml:space="preserve"> indicates that the case should be reclassified as ‘serious’, the information must be reported within the reporting timeframe for serious adverse reactions.</w:t>
      </w:r>
      <w:r w:rsidR="0017593B">
        <w:rPr>
          <w:rFonts w:cs="Arial"/>
          <w:szCs w:val="22"/>
        </w:rPr>
        <w:t xml:space="preserve"> Day </w:t>
      </w:r>
      <w:r w:rsidR="000A4530">
        <w:rPr>
          <w:rFonts w:cs="Arial"/>
          <w:szCs w:val="22"/>
        </w:rPr>
        <w:t>z</w:t>
      </w:r>
      <w:r w:rsidR="0017593B">
        <w:rPr>
          <w:rFonts w:cs="Arial"/>
          <w:szCs w:val="22"/>
        </w:rPr>
        <w:t>ero is then considered to be the date the additional information was received.</w:t>
      </w:r>
    </w:p>
    <w:p w:rsidR="008E0F88" w:rsidRDefault="008E0F88" w:rsidP="000255B4">
      <w:pPr>
        <w:rPr>
          <w:rFonts w:cs="Arial"/>
          <w:szCs w:val="22"/>
        </w:rPr>
      </w:pPr>
    </w:p>
    <w:p w:rsidR="00687D8A" w:rsidRDefault="00687D8A" w:rsidP="000255B4">
      <w:pPr>
        <w:rPr>
          <w:rFonts w:cs="Arial"/>
          <w:szCs w:val="22"/>
        </w:rPr>
      </w:pPr>
    </w:p>
    <w:p w:rsidR="008E0F88" w:rsidRPr="007B5344" w:rsidRDefault="000B50D5" w:rsidP="007B5344">
      <w:pPr>
        <w:pStyle w:val="NoHeading2"/>
        <w:keepNext/>
        <w:spacing w:before="120"/>
        <w:ind w:right="340"/>
      </w:pPr>
      <w:bookmarkStart w:id="104" w:name="_Toc414346410"/>
      <w:bookmarkStart w:id="105" w:name="_Toc414522799"/>
      <w:r>
        <w:t>3.</w:t>
      </w:r>
      <w:r w:rsidR="00161BE1">
        <w:t>5</w:t>
      </w:r>
      <w:r w:rsidR="007B5344">
        <w:tab/>
      </w:r>
      <w:r w:rsidR="007B5344" w:rsidRPr="007B5344">
        <w:t>Special situations</w:t>
      </w:r>
      <w:bookmarkEnd w:id="104"/>
      <w:bookmarkEnd w:id="105"/>
    </w:p>
    <w:p w:rsidR="008E0F88" w:rsidRDefault="008E0F88" w:rsidP="000255B4">
      <w:pPr>
        <w:rPr>
          <w:rFonts w:cs="Arial"/>
          <w:szCs w:val="22"/>
        </w:rPr>
      </w:pPr>
    </w:p>
    <w:p w:rsidR="00136570" w:rsidRDefault="00136570" w:rsidP="000255B4">
      <w:pPr>
        <w:rPr>
          <w:rFonts w:cs="Arial"/>
          <w:szCs w:val="22"/>
        </w:rPr>
      </w:pPr>
      <w:r>
        <w:rPr>
          <w:rFonts w:cs="Arial"/>
          <w:szCs w:val="22"/>
        </w:rPr>
        <w:t>The following provides guidance on how sponsors should respond in specific situations.</w:t>
      </w:r>
    </w:p>
    <w:p w:rsidR="00136570" w:rsidRDefault="00136570" w:rsidP="000255B4">
      <w:pPr>
        <w:rPr>
          <w:rFonts w:cs="Arial"/>
          <w:szCs w:val="22"/>
        </w:rPr>
      </w:pPr>
    </w:p>
    <w:p w:rsidR="00E12BB7" w:rsidRPr="000255B4" w:rsidRDefault="00E12BB7" w:rsidP="000255B4">
      <w:pPr>
        <w:pStyle w:val="NoHeading2"/>
        <w:keepNext/>
        <w:spacing w:before="120"/>
        <w:ind w:right="340"/>
        <w:rPr>
          <w:sz w:val="24"/>
          <w:szCs w:val="24"/>
        </w:rPr>
      </w:pPr>
      <w:bookmarkStart w:id="106" w:name="_Toc414346411"/>
      <w:bookmarkStart w:id="107" w:name="_Toc414522800"/>
      <w:r w:rsidRPr="000255B4">
        <w:rPr>
          <w:sz w:val="24"/>
          <w:szCs w:val="24"/>
        </w:rPr>
        <w:t>3</w:t>
      </w:r>
      <w:r w:rsidR="00AA6E7B">
        <w:rPr>
          <w:sz w:val="24"/>
          <w:szCs w:val="24"/>
        </w:rPr>
        <w:t>.</w:t>
      </w:r>
      <w:r w:rsidR="00161BE1">
        <w:rPr>
          <w:sz w:val="24"/>
          <w:szCs w:val="24"/>
        </w:rPr>
        <w:t>5</w:t>
      </w:r>
      <w:r w:rsidRPr="000255B4">
        <w:rPr>
          <w:sz w:val="24"/>
          <w:szCs w:val="24"/>
        </w:rPr>
        <w:t>.1</w:t>
      </w:r>
      <w:r w:rsidRPr="000255B4">
        <w:rPr>
          <w:sz w:val="24"/>
          <w:szCs w:val="24"/>
        </w:rPr>
        <w:tab/>
        <w:t>Consumer reports</w:t>
      </w:r>
      <w:bookmarkEnd w:id="106"/>
      <w:bookmarkEnd w:id="107"/>
    </w:p>
    <w:p w:rsidR="0016273A" w:rsidRPr="00B17527" w:rsidRDefault="0016273A" w:rsidP="0016273A">
      <w:pPr>
        <w:rPr>
          <w:rFonts w:cs="Arial"/>
          <w:szCs w:val="22"/>
        </w:rPr>
      </w:pPr>
    </w:p>
    <w:p w:rsidR="00E12BB7" w:rsidRDefault="008911E4" w:rsidP="00FD6B08">
      <w:pPr>
        <w:spacing w:line="280" w:lineRule="atLeast"/>
        <w:rPr>
          <w:szCs w:val="22"/>
        </w:rPr>
      </w:pPr>
      <w:r w:rsidRPr="008E20AE">
        <w:rPr>
          <w:szCs w:val="22"/>
        </w:rPr>
        <w:t>Whe</w:t>
      </w:r>
      <w:r w:rsidR="00003E3D">
        <w:rPr>
          <w:szCs w:val="22"/>
        </w:rPr>
        <w:t>re</w:t>
      </w:r>
      <w:r w:rsidRPr="008E20AE">
        <w:rPr>
          <w:szCs w:val="22"/>
        </w:rPr>
        <w:t xml:space="preserve"> </w:t>
      </w:r>
      <w:r w:rsidR="0099039C" w:rsidRPr="008E20AE">
        <w:rPr>
          <w:szCs w:val="22"/>
        </w:rPr>
        <w:t xml:space="preserve">sponsors of medicines </w:t>
      </w:r>
      <w:r w:rsidRPr="008E20AE">
        <w:rPr>
          <w:szCs w:val="22"/>
        </w:rPr>
        <w:t xml:space="preserve">receive </w:t>
      </w:r>
      <w:r w:rsidR="001D1E5B">
        <w:rPr>
          <w:szCs w:val="22"/>
        </w:rPr>
        <w:t xml:space="preserve">adverse reaction </w:t>
      </w:r>
      <w:r w:rsidRPr="008E20AE">
        <w:rPr>
          <w:szCs w:val="22"/>
        </w:rPr>
        <w:t>reports or complaints</w:t>
      </w:r>
      <w:r w:rsidR="00003E3D">
        <w:rPr>
          <w:szCs w:val="22"/>
        </w:rPr>
        <w:t xml:space="preserve"> directly from consumers</w:t>
      </w:r>
      <w:r w:rsidRPr="008E20AE">
        <w:rPr>
          <w:szCs w:val="22"/>
        </w:rPr>
        <w:t>,</w:t>
      </w:r>
      <w:r w:rsidR="00E12BB7">
        <w:rPr>
          <w:szCs w:val="22"/>
        </w:rPr>
        <w:t xml:space="preserve"> they should be guided by the fo</w:t>
      </w:r>
      <w:r w:rsidR="0083070F">
        <w:rPr>
          <w:szCs w:val="22"/>
        </w:rPr>
        <w:t>llowing:</w:t>
      </w:r>
    </w:p>
    <w:p w:rsidR="007B5344" w:rsidRPr="007B5344" w:rsidRDefault="0083070F" w:rsidP="00E12BB7">
      <w:pPr>
        <w:pStyle w:val="ListBullet"/>
        <w:spacing w:before="120" w:after="120"/>
        <w:ind w:left="714" w:hanging="357"/>
      </w:pPr>
      <w:r>
        <w:rPr>
          <w:szCs w:val="22"/>
        </w:rPr>
        <w:t>U</w:t>
      </w:r>
      <w:r w:rsidR="007B5344">
        <w:rPr>
          <w:szCs w:val="22"/>
        </w:rPr>
        <w:t xml:space="preserve">nsolicited reports received directly from consumers </w:t>
      </w:r>
      <w:r w:rsidR="007B5344" w:rsidRPr="008E20AE">
        <w:rPr>
          <w:szCs w:val="22"/>
        </w:rPr>
        <w:t xml:space="preserve">should be </w:t>
      </w:r>
      <w:r w:rsidR="007B5344">
        <w:rPr>
          <w:szCs w:val="22"/>
        </w:rPr>
        <w:t xml:space="preserve">regarded as spontaneous reports and </w:t>
      </w:r>
      <w:r w:rsidR="00DD3A8B">
        <w:rPr>
          <w:szCs w:val="22"/>
        </w:rPr>
        <w:t>those meeting the “serious” criteri</w:t>
      </w:r>
      <w:r w:rsidR="00D20D58">
        <w:rPr>
          <w:szCs w:val="22"/>
        </w:rPr>
        <w:t>a</w:t>
      </w:r>
      <w:r w:rsidR="00DD3A8B">
        <w:rPr>
          <w:szCs w:val="22"/>
        </w:rPr>
        <w:t xml:space="preserve"> </w:t>
      </w:r>
      <w:r w:rsidR="007B5344">
        <w:rPr>
          <w:szCs w:val="22"/>
        </w:rPr>
        <w:t xml:space="preserve">should be </w:t>
      </w:r>
      <w:r w:rsidR="007B5344" w:rsidRPr="008E20AE">
        <w:rPr>
          <w:szCs w:val="22"/>
        </w:rPr>
        <w:t>forwarded to CARM</w:t>
      </w:r>
      <w:r>
        <w:rPr>
          <w:szCs w:val="22"/>
        </w:rPr>
        <w:t>.</w:t>
      </w:r>
      <w:r w:rsidR="007B5344">
        <w:rPr>
          <w:szCs w:val="22"/>
        </w:rPr>
        <w:t xml:space="preserve"> </w:t>
      </w:r>
    </w:p>
    <w:p w:rsidR="007B5344" w:rsidRDefault="0083070F" w:rsidP="00E12BB7">
      <w:pPr>
        <w:pStyle w:val="ListBullet"/>
        <w:spacing w:before="120" w:after="120"/>
        <w:ind w:left="714" w:hanging="357"/>
      </w:pPr>
      <w:r>
        <w:t>C</w:t>
      </w:r>
      <w:r w:rsidR="00E12BB7" w:rsidRPr="00E12BB7">
        <w:t xml:space="preserve">onsumers should be encouraged to report </w:t>
      </w:r>
      <w:r w:rsidR="00E12BB7">
        <w:t>adverse reactions</w:t>
      </w:r>
      <w:r w:rsidR="007B5344">
        <w:t xml:space="preserve"> directly</w:t>
      </w:r>
      <w:r w:rsidR="00E12BB7" w:rsidRPr="00E12BB7">
        <w:t xml:space="preserve"> </w:t>
      </w:r>
      <w:r w:rsidR="007B5344">
        <w:t>to CARM</w:t>
      </w:r>
      <w:r>
        <w:t>.</w:t>
      </w:r>
    </w:p>
    <w:p w:rsidR="00E12BB7" w:rsidRPr="00E12BB7" w:rsidRDefault="0083070F" w:rsidP="00E12BB7">
      <w:pPr>
        <w:pStyle w:val="ListBullet"/>
        <w:spacing w:before="120" w:after="120"/>
        <w:ind w:left="714" w:hanging="357"/>
      </w:pPr>
      <w:r>
        <w:t>C</w:t>
      </w:r>
      <w:r w:rsidR="007B5344">
        <w:t xml:space="preserve">onsumers should also be encouraged to </w:t>
      </w:r>
      <w:r w:rsidR="00DD3A8B">
        <w:t>discuss adverse reaction(</w:t>
      </w:r>
      <w:r w:rsidR="0017593B">
        <w:t>s</w:t>
      </w:r>
      <w:r w:rsidR="00DD3A8B">
        <w:t>)</w:t>
      </w:r>
      <w:r w:rsidR="0017593B">
        <w:t xml:space="preserve"> with</w:t>
      </w:r>
      <w:r w:rsidR="00E12BB7">
        <w:t xml:space="preserve"> their healthcare professional</w:t>
      </w:r>
      <w:r>
        <w:t>.</w:t>
      </w:r>
    </w:p>
    <w:p w:rsidR="00E12BB7" w:rsidRPr="00E12BB7" w:rsidRDefault="0083070F" w:rsidP="00E12BB7">
      <w:pPr>
        <w:pStyle w:val="ListBullet"/>
        <w:spacing w:before="120" w:after="120"/>
        <w:ind w:left="714" w:hanging="357"/>
      </w:pPr>
      <w:r>
        <w:t>S</w:t>
      </w:r>
      <w:r w:rsidR="00E12BB7" w:rsidRPr="00E12BB7">
        <w:t>ponsors should make every attempt to obtain sufficient information to ascertain the</w:t>
      </w:r>
      <w:r w:rsidR="00E12BB7">
        <w:t xml:space="preserve"> </w:t>
      </w:r>
      <w:r w:rsidR="00E12BB7" w:rsidRPr="00E12BB7">
        <w:t>nature and seriousness of the reacti</w:t>
      </w:r>
      <w:r w:rsidR="00E12BB7">
        <w:t>on</w:t>
      </w:r>
      <w:r>
        <w:t>.</w:t>
      </w:r>
    </w:p>
    <w:p w:rsidR="00E12BB7" w:rsidRDefault="0083070F" w:rsidP="00E12BB7">
      <w:pPr>
        <w:pStyle w:val="ListBullet"/>
        <w:spacing w:before="120" w:after="120"/>
        <w:ind w:left="714" w:hanging="357"/>
      </w:pPr>
      <w:r>
        <w:t>S</w:t>
      </w:r>
      <w:r w:rsidR="00E12BB7" w:rsidRPr="00E12BB7">
        <w:t>ponsors should seek and document permission from consumers</w:t>
      </w:r>
      <w:r w:rsidR="00136570">
        <w:t xml:space="preserve"> to</w:t>
      </w:r>
      <w:r w:rsidR="00E12BB7" w:rsidRPr="00E12BB7">
        <w:t xml:space="preserve"> allow contact</w:t>
      </w:r>
      <w:r w:rsidR="00E12BB7">
        <w:t xml:space="preserve"> </w:t>
      </w:r>
      <w:r w:rsidR="00E12BB7" w:rsidRPr="00E12BB7">
        <w:t>with their primary healthcare professional to obtain additio</w:t>
      </w:r>
      <w:r w:rsidR="00E12BB7">
        <w:t>nal relevant medical information</w:t>
      </w:r>
      <w:r>
        <w:t>.</w:t>
      </w:r>
    </w:p>
    <w:p w:rsidR="0092154D" w:rsidRPr="00E12BB7" w:rsidRDefault="0083070F" w:rsidP="0092154D">
      <w:pPr>
        <w:pStyle w:val="ListBullet"/>
        <w:spacing w:before="120" w:after="120"/>
        <w:ind w:left="714" w:hanging="357"/>
      </w:pPr>
      <w:r>
        <w:t>I</w:t>
      </w:r>
      <w:r w:rsidR="0092154D">
        <w:t xml:space="preserve">f permission </w:t>
      </w:r>
      <w:r w:rsidR="00A80C38">
        <w:t xml:space="preserve">to seek further information </w:t>
      </w:r>
      <w:r w:rsidR="0092154D">
        <w:t xml:space="preserve">is denied or explicitly withheld, the sponsor must indicate on the reporting form that it is a consumer report and that the name </w:t>
      </w:r>
      <w:r w:rsidR="0092154D" w:rsidRPr="0092154D">
        <w:t>and contact details have been withheld</w:t>
      </w:r>
      <w:r w:rsidR="007B5344">
        <w:t xml:space="preserve"> at the request of the reporter</w:t>
      </w:r>
      <w:r>
        <w:t>.</w:t>
      </w:r>
    </w:p>
    <w:p w:rsidR="00E12BB7" w:rsidRPr="00E12BB7" w:rsidRDefault="0083070F" w:rsidP="00E12BB7">
      <w:pPr>
        <w:pStyle w:val="ListBullet"/>
        <w:spacing w:before="120" w:after="120"/>
        <w:ind w:left="714" w:hanging="357"/>
      </w:pPr>
      <w:r>
        <w:t>S</w:t>
      </w:r>
      <w:r w:rsidR="00E12BB7" w:rsidRPr="00E12BB7">
        <w:t xml:space="preserve">ponsors must document all consumer </w:t>
      </w:r>
      <w:r w:rsidR="007B5344">
        <w:t>adverse reaction</w:t>
      </w:r>
      <w:r w:rsidR="00E12BB7" w:rsidRPr="00E12BB7">
        <w:t xml:space="preserve"> reports and take these into account when overall safety assessments are made</w:t>
      </w:r>
      <w:r>
        <w:t>.</w:t>
      </w:r>
    </w:p>
    <w:p w:rsidR="00E12BB7" w:rsidRPr="00E12BB7" w:rsidRDefault="0083070F" w:rsidP="00E12BB7">
      <w:pPr>
        <w:pStyle w:val="ListBullet"/>
        <w:spacing w:before="120" w:after="120"/>
        <w:ind w:left="714" w:hanging="357"/>
      </w:pPr>
      <w:r>
        <w:t>A</w:t>
      </w:r>
      <w:r w:rsidR="00E12BB7" w:rsidRPr="0092154D">
        <w:t>dditional follow-up may not be necessary for an apparently</w:t>
      </w:r>
      <w:r w:rsidR="00E12BB7">
        <w:t xml:space="preserve"> </w:t>
      </w:r>
      <w:r w:rsidR="00E12BB7" w:rsidRPr="00E12BB7">
        <w:t xml:space="preserve">non-serious </w:t>
      </w:r>
      <w:r w:rsidR="00A80C38">
        <w:t>adverse reaction</w:t>
      </w:r>
      <w:r w:rsidR="00E12BB7" w:rsidRPr="00E12BB7">
        <w:t>.</w:t>
      </w:r>
    </w:p>
    <w:p w:rsidR="00E12BB7" w:rsidRDefault="00E12BB7" w:rsidP="00FD6B08">
      <w:pPr>
        <w:spacing w:line="280" w:lineRule="atLeast"/>
        <w:rPr>
          <w:szCs w:val="22"/>
        </w:rPr>
      </w:pPr>
    </w:p>
    <w:p w:rsidR="0099039C" w:rsidRDefault="00F94F92" w:rsidP="00FD6B08">
      <w:pPr>
        <w:spacing w:line="280" w:lineRule="atLeast"/>
        <w:rPr>
          <w:szCs w:val="22"/>
        </w:rPr>
      </w:pPr>
      <w:r>
        <w:rPr>
          <w:szCs w:val="22"/>
        </w:rPr>
        <w:t>Where the sponsor disagrees with the reasonable possibility of a causal relationship</w:t>
      </w:r>
      <w:r w:rsidR="00033C94">
        <w:rPr>
          <w:szCs w:val="22"/>
        </w:rPr>
        <w:t xml:space="preserve"> between the suspected medicine and the adverse reaction reported by </w:t>
      </w:r>
      <w:r w:rsidR="00AA28FD">
        <w:rPr>
          <w:szCs w:val="22"/>
        </w:rPr>
        <w:t>a</w:t>
      </w:r>
      <w:r w:rsidR="00033C94">
        <w:rPr>
          <w:szCs w:val="22"/>
        </w:rPr>
        <w:t xml:space="preserve"> </w:t>
      </w:r>
      <w:r w:rsidR="00A80C38">
        <w:rPr>
          <w:szCs w:val="22"/>
        </w:rPr>
        <w:t>consumer</w:t>
      </w:r>
      <w:r>
        <w:rPr>
          <w:szCs w:val="22"/>
        </w:rPr>
        <w:t xml:space="preserve">, </w:t>
      </w:r>
      <w:r w:rsidR="00033C94">
        <w:rPr>
          <w:szCs w:val="22"/>
        </w:rPr>
        <w:t xml:space="preserve">the </w:t>
      </w:r>
      <w:r w:rsidR="00D3793D">
        <w:rPr>
          <w:szCs w:val="22"/>
        </w:rPr>
        <w:t xml:space="preserve">ICSR must still be reported. The </w:t>
      </w:r>
      <w:r w:rsidR="00033C94">
        <w:rPr>
          <w:szCs w:val="22"/>
        </w:rPr>
        <w:t xml:space="preserve">opinions of both the </w:t>
      </w:r>
      <w:r w:rsidR="00A80C38">
        <w:rPr>
          <w:szCs w:val="22"/>
        </w:rPr>
        <w:t>consumer</w:t>
      </w:r>
      <w:r w:rsidR="00033C94">
        <w:rPr>
          <w:szCs w:val="22"/>
        </w:rPr>
        <w:t xml:space="preserve"> and the sponsor should be recorded in the adverse reaction report, including the criteria on which the sponsor ha</w:t>
      </w:r>
      <w:r w:rsidR="0092154D">
        <w:rPr>
          <w:szCs w:val="22"/>
        </w:rPr>
        <w:t>s</w:t>
      </w:r>
      <w:r w:rsidR="00033C94">
        <w:rPr>
          <w:szCs w:val="22"/>
        </w:rPr>
        <w:t xml:space="preserve"> made their assessment. </w:t>
      </w:r>
    </w:p>
    <w:p w:rsidR="0092154D" w:rsidRDefault="0092154D" w:rsidP="00FD6B08">
      <w:pPr>
        <w:spacing w:line="280" w:lineRule="atLeast"/>
        <w:rPr>
          <w:szCs w:val="22"/>
        </w:rPr>
      </w:pPr>
    </w:p>
    <w:p w:rsidR="0017593B" w:rsidRPr="000B50D5" w:rsidRDefault="0017593B" w:rsidP="0017593B">
      <w:pPr>
        <w:pStyle w:val="NoHeading2"/>
        <w:keepNext/>
        <w:spacing w:before="120"/>
        <w:ind w:left="1134" w:right="340" w:hanging="1134"/>
        <w:rPr>
          <w:sz w:val="24"/>
          <w:szCs w:val="24"/>
        </w:rPr>
      </w:pPr>
      <w:bookmarkStart w:id="108" w:name="_Toc414346412"/>
      <w:bookmarkStart w:id="109" w:name="_Toc414522801"/>
      <w:r w:rsidRPr="000B50D5">
        <w:rPr>
          <w:sz w:val="24"/>
          <w:szCs w:val="24"/>
        </w:rPr>
        <w:t>3.</w:t>
      </w:r>
      <w:r w:rsidR="007F0424">
        <w:rPr>
          <w:sz w:val="24"/>
          <w:szCs w:val="24"/>
        </w:rPr>
        <w:t>5.2</w:t>
      </w:r>
      <w:r w:rsidRPr="000B50D5">
        <w:rPr>
          <w:sz w:val="24"/>
          <w:szCs w:val="24"/>
        </w:rPr>
        <w:tab/>
        <w:t>Downgrading the severity of a case report</w:t>
      </w:r>
      <w:bookmarkEnd w:id="108"/>
      <w:bookmarkEnd w:id="109"/>
    </w:p>
    <w:p w:rsidR="0017593B" w:rsidRDefault="0017593B" w:rsidP="0017593B">
      <w:pPr>
        <w:spacing w:line="280" w:lineRule="atLeast"/>
        <w:rPr>
          <w:szCs w:val="22"/>
        </w:rPr>
      </w:pPr>
    </w:p>
    <w:p w:rsidR="003C764C" w:rsidRDefault="0017593B" w:rsidP="003C764C">
      <w:pPr>
        <w:spacing w:line="280" w:lineRule="atLeast"/>
        <w:rPr>
          <w:szCs w:val="22"/>
        </w:rPr>
      </w:pPr>
      <w:r>
        <w:rPr>
          <w:szCs w:val="22"/>
        </w:rPr>
        <w:t xml:space="preserve">A valid case reported by a </w:t>
      </w:r>
      <w:r w:rsidR="00A80C38">
        <w:rPr>
          <w:szCs w:val="22"/>
        </w:rPr>
        <w:t>primary source</w:t>
      </w:r>
      <w:r>
        <w:rPr>
          <w:szCs w:val="22"/>
        </w:rPr>
        <w:t xml:space="preserve"> should not be downgraded to a non-</w:t>
      </w:r>
      <w:r w:rsidR="00A80C38">
        <w:rPr>
          <w:szCs w:val="22"/>
        </w:rPr>
        <w:t>serious</w:t>
      </w:r>
      <w:r>
        <w:rPr>
          <w:szCs w:val="22"/>
        </w:rPr>
        <w:t xml:space="preserve"> adverse event if a </w:t>
      </w:r>
      <w:r w:rsidR="00A80C38">
        <w:rPr>
          <w:szCs w:val="22"/>
        </w:rPr>
        <w:t>secondary source</w:t>
      </w:r>
      <w:r>
        <w:rPr>
          <w:szCs w:val="22"/>
        </w:rPr>
        <w:t xml:space="preserve"> involved in the care of the </w:t>
      </w:r>
      <w:r w:rsidR="00A80C38">
        <w:rPr>
          <w:szCs w:val="22"/>
        </w:rPr>
        <w:t>primary source</w:t>
      </w:r>
      <w:r>
        <w:rPr>
          <w:szCs w:val="22"/>
        </w:rPr>
        <w:t xml:space="preserve"> disagrees with the </w:t>
      </w:r>
      <w:r w:rsidR="00A80C38">
        <w:rPr>
          <w:szCs w:val="22"/>
        </w:rPr>
        <w:t xml:space="preserve">primary source’s </w:t>
      </w:r>
      <w:r>
        <w:rPr>
          <w:szCs w:val="22"/>
        </w:rPr>
        <w:t xml:space="preserve">suspicion. </w:t>
      </w:r>
      <w:r w:rsidR="003C764C">
        <w:rPr>
          <w:szCs w:val="22"/>
        </w:rPr>
        <w:t xml:space="preserve">The opinions of both the primary source, and the secondary source </w:t>
      </w:r>
      <w:r w:rsidR="0082521E">
        <w:rPr>
          <w:szCs w:val="22"/>
        </w:rPr>
        <w:t>(</w:t>
      </w:r>
      <w:r w:rsidR="003C764C">
        <w:rPr>
          <w:szCs w:val="22"/>
        </w:rPr>
        <w:t>or source of follow-up information</w:t>
      </w:r>
      <w:r w:rsidR="0082521E">
        <w:rPr>
          <w:szCs w:val="22"/>
        </w:rPr>
        <w:t>)</w:t>
      </w:r>
      <w:r w:rsidR="003C764C">
        <w:rPr>
          <w:szCs w:val="22"/>
        </w:rPr>
        <w:t xml:space="preserve"> should be recorded in the adverse reaction report, including the criteria on which the secondary source has made their assessment. </w:t>
      </w:r>
    </w:p>
    <w:p w:rsidR="00481A9A" w:rsidRPr="008E20AE" w:rsidRDefault="00481A9A" w:rsidP="00FD6B08">
      <w:pPr>
        <w:spacing w:line="280" w:lineRule="atLeast"/>
        <w:rPr>
          <w:szCs w:val="22"/>
        </w:rPr>
      </w:pPr>
    </w:p>
    <w:p w:rsidR="009444D2" w:rsidRPr="0075502D" w:rsidRDefault="009444D2" w:rsidP="009444D2">
      <w:pPr>
        <w:pStyle w:val="NoHeading2"/>
        <w:keepNext/>
        <w:spacing w:before="120"/>
        <w:ind w:right="340"/>
        <w:rPr>
          <w:sz w:val="24"/>
          <w:szCs w:val="24"/>
        </w:rPr>
      </w:pPr>
      <w:bookmarkStart w:id="110" w:name="_Toc414346413"/>
      <w:bookmarkStart w:id="111" w:name="_Toc414522802"/>
      <w:r>
        <w:rPr>
          <w:sz w:val="24"/>
          <w:szCs w:val="24"/>
        </w:rPr>
        <w:t>3</w:t>
      </w:r>
      <w:r w:rsidR="00AA6E7B">
        <w:rPr>
          <w:sz w:val="24"/>
          <w:szCs w:val="24"/>
        </w:rPr>
        <w:t>.</w:t>
      </w:r>
      <w:r w:rsidR="00161BE1">
        <w:rPr>
          <w:sz w:val="24"/>
          <w:szCs w:val="24"/>
        </w:rPr>
        <w:t>5</w:t>
      </w:r>
      <w:r w:rsidRPr="009444D2">
        <w:rPr>
          <w:sz w:val="24"/>
          <w:szCs w:val="24"/>
        </w:rPr>
        <w:t>.</w:t>
      </w:r>
      <w:r w:rsidR="007F0424">
        <w:rPr>
          <w:sz w:val="24"/>
          <w:szCs w:val="24"/>
        </w:rPr>
        <w:t>3</w:t>
      </w:r>
      <w:r w:rsidRPr="0075502D">
        <w:rPr>
          <w:sz w:val="24"/>
          <w:szCs w:val="24"/>
        </w:rPr>
        <w:tab/>
        <w:t>Adverse event following immunisation</w:t>
      </w:r>
      <w:bookmarkEnd w:id="110"/>
      <w:bookmarkEnd w:id="111"/>
    </w:p>
    <w:p w:rsidR="009444D2" w:rsidRPr="00B17527" w:rsidRDefault="009444D2" w:rsidP="009444D2">
      <w:pPr>
        <w:rPr>
          <w:rFonts w:cs="Arial"/>
          <w:szCs w:val="22"/>
        </w:rPr>
      </w:pPr>
    </w:p>
    <w:p w:rsidR="009444D2" w:rsidRDefault="009444D2" w:rsidP="009444D2">
      <w:pPr>
        <w:rPr>
          <w:rFonts w:cs="Arial"/>
          <w:szCs w:val="22"/>
        </w:rPr>
      </w:pPr>
      <w:r w:rsidRPr="00B17527">
        <w:rPr>
          <w:rFonts w:cs="Arial"/>
          <w:szCs w:val="22"/>
        </w:rPr>
        <w:t xml:space="preserve">The WHO defines an </w:t>
      </w:r>
      <w:r w:rsidR="00A80C38">
        <w:rPr>
          <w:rFonts w:cs="Arial"/>
          <w:szCs w:val="22"/>
        </w:rPr>
        <w:t>adverse event following immunisation (</w:t>
      </w:r>
      <w:r w:rsidRPr="00B17527">
        <w:rPr>
          <w:rFonts w:cs="Arial"/>
          <w:szCs w:val="22"/>
        </w:rPr>
        <w:t>AEFI</w:t>
      </w:r>
      <w:r w:rsidR="00A80C38">
        <w:rPr>
          <w:rFonts w:cs="Arial"/>
          <w:szCs w:val="22"/>
        </w:rPr>
        <w:t>)</w:t>
      </w:r>
      <w:r w:rsidRPr="00B17527">
        <w:rPr>
          <w:rFonts w:cs="Arial"/>
          <w:szCs w:val="22"/>
        </w:rPr>
        <w:t xml:space="preserve"> as a</w:t>
      </w:r>
      <w:r>
        <w:rPr>
          <w:rFonts w:cs="Arial"/>
          <w:szCs w:val="22"/>
        </w:rPr>
        <w:t>ny untoward</w:t>
      </w:r>
      <w:r w:rsidRPr="00B17527">
        <w:rPr>
          <w:rFonts w:cs="Arial"/>
          <w:szCs w:val="22"/>
        </w:rPr>
        <w:t xml:space="preserve"> medical </w:t>
      </w:r>
      <w:r>
        <w:rPr>
          <w:rFonts w:cs="Arial"/>
          <w:szCs w:val="22"/>
        </w:rPr>
        <w:t>occurrence which follows immunisation</w:t>
      </w:r>
      <w:r w:rsidRPr="00B17527">
        <w:rPr>
          <w:rFonts w:cs="Arial"/>
          <w:szCs w:val="22"/>
        </w:rPr>
        <w:t xml:space="preserve"> and </w:t>
      </w:r>
      <w:r>
        <w:rPr>
          <w:rFonts w:cs="Arial"/>
          <w:szCs w:val="22"/>
        </w:rPr>
        <w:t>which does not necessarily have a causal relationship with the usage of the vaccine.</w:t>
      </w:r>
      <w:r w:rsidRPr="00F31491">
        <w:rPr>
          <w:rFonts w:cs="Arial"/>
          <w:szCs w:val="22"/>
        </w:rPr>
        <w:t xml:space="preserve"> </w:t>
      </w:r>
    </w:p>
    <w:p w:rsidR="009444D2" w:rsidRDefault="009444D2" w:rsidP="009444D2">
      <w:pPr>
        <w:rPr>
          <w:rFonts w:cs="Arial"/>
          <w:szCs w:val="22"/>
        </w:rPr>
      </w:pPr>
    </w:p>
    <w:p w:rsidR="009444D2" w:rsidRDefault="009444D2" w:rsidP="009444D2">
      <w:pPr>
        <w:rPr>
          <w:rFonts w:cs="Arial"/>
          <w:szCs w:val="22"/>
        </w:rPr>
      </w:pPr>
      <w:r>
        <w:rPr>
          <w:rFonts w:cs="Arial"/>
          <w:szCs w:val="22"/>
        </w:rPr>
        <w:t>Any AEFI has the potential to undermine con</w:t>
      </w:r>
      <w:r w:rsidR="00A80C38">
        <w:rPr>
          <w:rFonts w:cs="Arial"/>
          <w:szCs w:val="22"/>
        </w:rPr>
        <w:t>f</w:t>
      </w:r>
      <w:r>
        <w:rPr>
          <w:rFonts w:cs="Arial"/>
          <w:szCs w:val="22"/>
        </w:rPr>
        <w:t>idence in a vaccine and ultimately ha</w:t>
      </w:r>
      <w:r w:rsidR="00D20D58">
        <w:rPr>
          <w:rFonts w:cs="Arial"/>
          <w:szCs w:val="22"/>
        </w:rPr>
        <w:t>s</w:t>
      </w:r>
      <w:r>
        <w:rPr>
          <w:rFonts w:cs="Arial"/>
          <w:szCs w:val="22"/>
        </w:rPr>
        <w:t xml:space="preserve"> dramatic consequences for immunisation coverage and disease incidence, if it is not dealt with rapidly and effectively. </w:t>
      </w:r>
    </w:p>
    <w:p w:rsidR="00D3793D" w:rsidRDefault="00D3793D" w:rsidP="009444D2">
      <w:pPr>
        <w:rPr>
          <w:rFonts w:cs="Arial"/>
          <w:szCs w:val="22"/>
        </w:rPr>
      </w:pPr>
    </w:p>
    <w:p w:rsidR="00C769DC" w:rsidRDefault="009444D2" w:rsidP="009444D2">
      <w:pPr>
        <w:rPr>
          <w:rFonts w:cs="Arial"/>
          <w:szCs w:val="22"/>
        </w:rPr>
      </w:pPr>
      <w:r>
        <w:rPr>
          <w:rFonts w:cs="Arial"/>
          <w:szCs w:val="22"/>
        </w:rPr>
        <w:t xml:space="preserve">AEFIs </w:t>
      </w:r>
      <w:r w:rsidR="00C769DC">
        <w:rPr>
          <w:rFonts w:cs="Arial"/>
          <w:szCs w:val="22"/>
        </w:rPr>
        <w:t xml:space="preserve">judged to be serious </w:t>
      </w:r>
      <w:r>
        <w:rPr>
          <w:rFonts w:cs="Arial"/>
          <w:szCs w:val="22"/>
        </w:rPr>
        <w:t>should be reported to CARM</w:t>
      </w:r>
      <w:r w:rsidR="001163D1">
        <w:rPr>
          <w:rFonts w:cs="Arial"/>
          <w:szCs w:val="22"/>
        </w:rPr>
        <w:t xml:space="preserve"> within the standard timeframe for reporting serious adverse reactions</w:t>
      </w:r>
      <w:r w:rsidR="00ED5AF8">
        <w:rPr>
          <w:rFonts w:cs="Arial"/>
          <w:szCs w:val="22"/>
        </w:rPr>
        <w:t xml:space="preserve"> to medicines</w:t>
      </w:r>
      <w:r>
        <w:rPr>
          <w:rFonts w:cs="Arial"/>
          <w:szCs w:val="22"/>
        </w:rPr>
        <w:t>.</w:t>
      </w:r>
      <w:r w:rsidR="00C769DC">
        <w:rPr>
          <w:rFonts w:cs="Arial"/>
          <w:szCs w:val="22"/>
        </w:rPr>
        <w:t xml:space="preserve"> </w:t>
      </w:r>
    </w:p>
    <w:p w:rsidR="00C769DC" w:rsidRDefault="00C769DC" w:rsidP="009444D2">
      <w:pPr>
        <w:rPr>
          <w:rFonts w:cs="Arial"/>
          <w:szCs w:val="22"/>
        </w:rPr>
      </w:pPr>
    </w:p>
    <w:p w:rsidR="009444D2" w:rsidRDefault="00C769DC" w:rsidP="009444D2">
      <w:pPr>
        <w:rPr>
          <w:rFonts w:cs="Arial"/>
          <w:szCs w:val="22"/>
        </w:rPr>
      </w:pPr>
      <w:r>
        <w:rPr>
          <w:rFonts w:cs="Arial"/>
          <w:szCs w:val="22"/>
        </w:rPr>
        <w:t>Clusters of non-serious AEFIs may indicate a significant safety issue and should be reported to Medsafe as specified in Section 5.</w:t>
      </w:r>
    </w:p>
    <w:p w:rsidR="008977B9" w:rsidRDefault="008977B9" w:rsidP="00FD6B08">
      <w:pPr>
        <w:rPr>
          <w:rFonts w:cs="Arial"/>
          <w:szCs w:val="22"/>
        </w:rPr>
      </w:pPr>
    </w:p>
    <w:p w:rsidR="00593B0E" w:rsidRPr="0085499A" w:rsidRDefault="007B5344" w:rsidP="0085499A">
      <w:pPr>
        <w:pStyle w:val="NoHeading2"/>
        <w:keepNext/>
        <w:spacing w:before="120"/>
        <w:ind w:right="340"/>
        <w:rPr>
          <w:sz w:val="24"/>
          <w:szCs w:val="24"/>
        </w:rPr>
      </w:pPr>
      <w:bookmarkStart w:id="112" w:name="_Toc414346414"/>
      <w:bookmarkStart w:id="113" w:name="_Toc414522803"/>
      <w:r>
        <w:rPr>
          <w:sz w:val="24"/>
          <w:szCs w:val="24"/>
        </w:rPr>
        <w:t>3.</w:t>
      </w:r>
      <w:r w:rsidR="00161BE1">
        <w:rPr>
          <w:sz w:val="24"/>
          <w:szCs w:val="24"/>
        </w:rPr>
        <w:t>5</w:t>
      </w:r>
      <w:r w:rsidR="007F0424">
        <w:rPr>
          <w:sz w:val="24"/>
          <w:szCs w:val="24"/>
        </w:rPr>
        <w:t>.4</w:t>
      </w:r>
      <w:r w:rsidR="0085499A">
        <w:rPr>
          <w:sz w:val="24"/>
          <w:szCs w:val="24"/>
        </w:rPr>
        <w:tab/>
      </w:r>
      <w:r w:rsidR="00593B0E" w:rsidRPr="0085499A">
        <w:rPr>
          <w:sz w:val="24"/>
          <w:szCs w:val="24"/>
        </w:rPr>
        <w:t>Lack of efficacy</w:t>
      </w:r>
      <w:bookmarkEnd w:id="112"/>
      <w:bookmarkEnd w:id="113"/>
    </w:p>
    <w:p w:rsidR="00593B0E" w:rsidRDefault="00593B0E" w:rsidP="00FD6B08">
      <w:pPr>
        <w:rPr>
          <w:rFonts w:cs="Arial"/>
          <w:szCs w:val="22"/>
        </w:rPr>
      </w:pPr>
    </w:p>
    <w:p w:rsidR="00FC65A1" w:rsidRDefault="00D3793D" w:rsidP="007B5344">
      <w:pPr>
        <w:rPr>
          <w:rFonts w:cs="Arial"/>
          <w:szCs w:val="22"/>
        </w:rPr>
      </w:pPr>
      <w:r>
        <w:rPr>
          <w:rFonts w:cs="Arial"/>
          <w:szCs w:val="22"/>
        </w:rPr>
        <w:t xml:space="preserve">All cases of </w:t>
      </w:r>
      <w:r w:rsidR="0085499A">
        <w:rPr>
          <w:rFonts w:cs="Arial"/>
          <w:szCs w:val="22"/>
        </w:rPr>
        <w:t>a lack of therapeutic efficacy</w:t>
      </w:r>
      <w:r w:rsidR="007B5344">
        <w:rPr>
          <w:rFonts w:cs="Arial"/>
          <w:szCs w:val="22"/>
        </w:rPr>
        <w:t xml:space="preserve"> </w:t>
      </w:r>
      <w:r w:rsidR="00A80C38">
        <w:rPr>
          <w:rFonts w:cs="Arial"/>
          <w:szCs w:val="22"/>
        </w:rPr>
        <w:t xml:space="preserve">for any medicine </w:t>
      </w:r>
      <w:r w:rsidR="00C769DC">
        <w:rPr>
          <w:rFonts w:cs="Arial"/>
          <w:szCs w:val="22"/>
        </w:rPr>
        <w:t>should</w:t>
      </w:r>
      <w:r w:rsidR="007B5344">
        <w:rPr>
          <w:rFonts w:cs="Arial"/>
          <w:szCs w:val="22"/>
        </w:rPr>
        <w:t xml:space="preserve"> be </w:t>
      </w:r>
      <w:r w:rsidR="003847D1">
        <w:rPr>
          <w:rFonts w:cs="Arial"/>
          <w:szCs w:val="22"/>
        </w:rPr>
        <w:t>reported to CARM</w:t>
      </w:r>
      <w:r w:rsidR="007B5344">
        <w:rPr>
          <w:rFonts w:cs="Arial"/>
          <w:szCs w:val="22"/>
        </w:rPr>
        <w:t>, as the</w:t>
      </w:r>
      <w:r w:rsidR="00500E38">
        <w:rPr>
          <w:rFonts w:cs="Arial"/>
          <w:szCs w:val="22"/>
        </w:rPr>
        <w:t xml:space="preserve"> consequence</w:t>
      </w:r>
      <w:r w:rsidR="007B5344">
        <w:rPr>
          <w:rFonts w:cs="Arial"/>
          <w:szCs w:val="22"/>
        </w:rPr>
        <w:t>s</w:t>
      </w:r>
      <w:r w:rsidR="00500E38">
        <w:rPr>
          <w:rFonts w:cs="Arial"/>
          <w:szCs w:val="22"/>
        </w:rPr>
        <w:t xml:space="preserve"> </w:t>
      </w:r>
      <w:r w:rsidR="007B5344">
        <w:rPr>
          <w:rFonts w:cs="Arial"/>
          <w:szCs w:val="22"/>
        </w:rPr>
        <w:t xml:space="preserve">may be potentially </w:t>
      </w:r>
      <w:r w:rsidR="00500E38">
        <w:rPr>
          <w:rFonts w:cs="Arial"/>
          <w:szCs w:val="22"/>
        </w:rPr>
        <w:t xml:space="preserve">very </w:t>
      </w:r>
      <w:r w:rsidR="007B5344">
        <w:rPr>
          <w:rFonts w:cs="Arial"/>
          <w:szCs w:val="22"/>
        </w:rPr>
        <w:t xml:space="preserve">serious for: </w:t>
      </w:r>
    </w:p>
    <w:p w:rsidR="00FC65A1" w:rsidRPr="00C54B93" w:rsidRDefault="003847D1" w:rsidP="00FC65A1">
      <w:pPr>
        <w:pStyle w:val="ListBullet"/>
        <w:spacing w:before="120" w:after="120"/>
        <w:ind w:left="714" w:hanging="357"/>
      </w:pPr>
      <w:r w:rsidRPr="00FC65A1">
        <w:t xml:space="preserve">vaccines </w:t>
      </w:r>
    </w:p>
    <w:p w:rsidR="00FC65A1" w:rsidRPr="00815A98" w:rsidRDefault="00FC65A1" w:rsidP="00FC65A1">
      <w:pPr>
        <w:pStyle w:val="ListBullet"/>
        <w:spacing w:before="120" w:after="120"/>
        <w:ind w:left="714" w:hanging="357"/>
      </w:pPr>
      <w:r w:rsidRPr="00C54B93">
        <w:t>contraceptives</w:t>
      </w:r>
    </w:p>
    <w:p w:rsidR="00FC65A1" w:rsidRPr="0086572A" w:rsidRDefault="003847D1" w:rsidP="00FC65A1">
      <w:pPr>
        <w:pStyle w:val="ListBullet"/>
        <w:spacing w:before="120" w:after="120"/>
        <w:ind w:left="714" w:hanging="357"/>
      </w:pPr>
      <w:proofErr w:type="gramStart"/>
      <w:r w:rsidRPr="00815A98">
        <w:t>medicines</w:t>
      </w:r>
      <w:proofErr w:type="gramEnd"/>
      <w:r w:rsidRPr="00815A98">
        <w:t xml:space="preserve"> used in critical conditions or l</w:t>
      </w:r>
      <w:r w:rsidRPr="0086572A">
        <w:t xml:space="preserve">ife-threatening situations. </w:t>
      </w:r>
    </w:p>
    <w:p w:rsidR="00FC65A1" w:rsidRDefault="00FC65A1" w:rsidP="00FD6B08">
      <w:pPr>
        <w:rPr>
          <w:rFonts w:cs="Arial"/>
          <w:szCs w:val="22"/>
        </w:rPr>
      </w:pPr>
    </w:p>
    <w:p w:rsidR="003847D1" w:rsidRDefault="00A80C38" w:rsidP="00FD6B08">
      <w:pPr>
        <w:rPr>
          <w:rFonts w:cs="Arial"/>
          <w:szCs w:val="22"/>
        </w:rPr>
      </w:pPr>
      <w:r>
        <w:rPr>
          <w:rFonts w:cs="Arial"/>
          <w:szCs w:val="22"/>
        </w:rPr>
        <w:t>For example, a</w:t>
      </w:r>
      <w:r w:rsidR="003847D1">
        <w:rPr>
          <w:rFonts w:cs="Arial"/>
          <w:szCs w:val="22"/>
        </w:rPr>
        <w:t xml:space="preserve"> lack of efficacy for antibiotics or vaccines may indicate newly developing resistance or waning immunity, both </w:t>
      </w:r>
      <w:r w:rsidR="00D20D58">
        <w:rPr>
          <w:rFonts w:cs="Arial"/>
          <w:szCs w:val="22"/>
        </w:rPr>
        <w:t>making</w:t>
      </w:r>
      <w:r w:rsidR="003847D1">
        <w:rPr>
          <w:rFonts w:cs="Arial"/>
          <w:szCs w:val="22"/>
        </w:rPr>
        <w:t xml:space="preserve"> further study</w:t>
      </w:r>
      <w:r w:rsidR="00D20D58">
        <w:rPr>
          <w:rFonts w:cs="Arial"/>
          <w:szCs w:val="22"/>
        </w:rPr>
        <w:t xml:space="preserve"> necessary</w:t>
      </w:r>
      <w:r w:rsidR="003847D1">
        <w:rPr>
          <w:rFonts w:cs="Arial"/>
          <w:szCs w:val="22"/>
        </w:rPr>
        <w:t>.</w:t>
      </w:r>
    </w:p>
    <w:p w:rsidR="00593B0E" w:rsidRDefault="00593B0E" w:rsidP="00FD6B08">
      <w:pPr>
        <w:rPr>
          <w:rFonts w:cs="Arial"/>
          <w:szCs w:val="22"/>
        </w:rPr>
      </w:pPr>
    </w:p>
    <w:p w:rsidR="00FC65A1" w:rsidRPr="00593B0E" w:rsidRDefault="007B5344" w:rsidP="00FC65A1">
      <w:pPr>
        <w:pStyle w:val="NoHeading2"/>
        <w:keepNext/>
        <w:spacing w:before="120"/>
        <w:ind w:right="340"/>
        <w:rPr>
          <w:sz w:val="24"/>
          <w:szCs w:val="24"/>
        </w:rPr>
      </w:pPr>
      <w:bookmarkStart w:id="114" w:name="_Toc414346415"/>
      <w:bookmarkStart w:id="115" w:name="_Toc414522804"/>
      <w:r>
        <w:rPr>
          <w:sz w:val="24"/>
          <w:szCs w:val="24"/>
        </w:rPr>
        <w:t>3.</w:t>
      </w:r>
      <w:r w:rsidR="00161BE1">
        <w:rPr>
          <w:sz w:val="24"/>
          <w:szCs w:val="24"/>
        </w:rPr>
        <w:t>5</w:t>
      </w:r>
      <w:r w:rsidR="007F0424">
        <w:rPr>
          <w:sz w:val="24"/>
          <w:szCs w:val="24"/>
        </w:rPr>
        <w:t>.5</w:t>
      </w:r>
      <w:r w:rsidR="00FC65A1">
        <w:rPr>
          <w:sz w:val="24"/>
          <w:szCs w:val="24"/>
        </w:rPr>
        <w:tab/>
        <w:t>Misuse or abuse</w:t>
      </w:r>
      <w:bookmarkEnd w:id="114"/>
      <w:bookmarkEnd w:id="115"/>
    </w:p>
    <w:p w:rsidR="00FC65A1" w:rsidRDefault="00FC65A1" w:rsidP="00FC65A1"/>
    <w:p w:rsidR="00FC65A1" w:rsidRDefault="00FC65A1" w:rsidP="00FC65A1">
      <w:r>
        <w:t xml:space="preserve">Misuse or abuse may occur with any medicine. Reports of intentional misuse or abuse where no adverse reactions are associated do not need to be forwarded to </w:t>
      </w:r>
      <w:r w:rsidR="0074361E">
        <w:t xml:space="preserve">either </w:t>
      </w:r>
      <w:r w:rsidR="002D0FAE">
        <w:t>CARM</w:t>
      </w:r>
      <w:r w:rsidR="0074361E">
        <w:t xml:space="preserve"> or Medsafe</w:t>
      </w:r>
      <w:r>
        <w:t>. Sponsors should routinely follow up on these repor</w:t>
      </w:r>
      <w:r w:rsidR="00ED77FF">
        <w:t>ts and include them in their on</w:t>
      </w:r>
      <w:r>
        <w:t>going review and analysis (PBRER</w:t>
      </w:r>
      <w:r w:rsidR="00C769DC">
        <w:t>)</w:t>
      </w:r>
      <w:r>
        <w:t>.</w:t>
      </w:r>
    </w:p>
    <w:p w:rsidR="0074361E" w:rsidRDefault="0074361E" w:rsidP="00FC65A1"/>
    <w:p w:rsidR="00FC65A1" w:rsidRDefault="0074361E" w:rsidP="00FC65A1">
      <w:r>
        <w:t>If adverse reactions are associated with valid ICSRs of misuse or abuse, they should be forwarded to CARM.</w:t>
      </w:r>
    </w:p>
    <w:p w:rsidR="000B3DF8" w:rsidRPr="000B3DF8" w:rsidRDefault="000B3DF8" w:rsidP="00FC65A1">
      <w:pPr>
        <w:rPr>
          <w:rFonts w:cs="Arial"/>
          <w:szCs w:val="22"/>
        </w:rPr>
      </w:pPr>
    </w:p>
    <w:p w:rsidR="00FC65A1" w:rsidRPr="00FC65A1" w:rsidRDefault="007B5344" w:rsidP="00FC65A1">
      <w:pPr>
        <w:pStyle w:val="NoHeading2"/>
        <w:keepNext/>
        <w:spacing w:before="120"/>
        <w:ind w:right="340"/>
        <w:rPr>
          <w:sz w:val="24"/>
          <w:szCs w:val="24"/>
        </w:rPr>
      </w:pPr>
      <w:bookmarkStart w:id="116" w:name="_Toc414346416"/>
      <w:bookmarkStart w:id="117" w:name="_Toc414522805"/>
      <w:r>
        <w:rPr>
          <w:sz w:val="24"/>
          <w:szCs w:val="24"/>
        </w:rPr>
        <w:t>3.</w:t>
      </w:r>
      <w:r w:rsidR="00161BE1">
        <w:rPr>
          <w:sz w:val="24"/>
          <w:szCs w:val="24"/>
        </w:rPr>
        <w:t>5</w:t>
      </w:r>
      <w:r w:rsidR="007F0424">
        <w:rPr>
          <w:sz w:val="24"/>
          <w:szCs w:val="24"/>
        </w:rPr>
        <w:t>.6</w:t>
      </w:r>
      <w:r w:rsidR="00FC65A1">
        <w:rPr>
          <w:sz w:val="24"/>
          <w:szCs w:val="24"/>
        </w:rPr>
        <w:tab/>
      </w:r>
      <w:r w:rsidR="00FC65A1" w:rsidRPr="00FC65A1">
        <w:rPr>
          <w:sz w:val="24"/>
          <w:szCs w:val="24"/>
        </w:rPr>
        <w:t>Off-label use</w:t>
      </w:r>
      <w:bookmarkEnd w:id="116"/>
      <w:bookmarkEnd w:id="117"/>
    </w:p>
    <w:p w:rsidR="00FC65A1" w:rsidRDefault="00FC65A1" w:rsidP="00FC65A1"/>
    <w:p w:rsidR="00FC65A1" w:rsidRDefault="00FC65A1" w:rsidP="00FC65A1">
      <w:pPr>
        <w:rPr>
          <w:rStyle w:val="st"/>
          <w:rFonts w:cs="Arial"/>
          <w:color w:val="222222"/>
        </w:rPr>
      </w:pPr>
      <w:r>
        <w:t xml:space="preserve">Off-label use is defined as the </w:t>
      </w:r>
      <w:r w:rsidRPr="00EC0B7B">
        <w:rPr>
          <w:rStyle w:val="Emphasis"/>
          <w:rFonts w:cs="Arial"/>
          <w:b w:val="0"/>
          <w:color w:val="222222"/>
        </w:rPr>
        <w:t>use</w:t>
      </w:r>
      <w:r>
        <w:rPr>
          <w:rStyle w:val="st"/>
          <w:rFonts w:cs="Arial"/>
          <w:color w:val="222222"/>
        </w:rPr>
        <w:t xml:space="preserve"> of an approved medicine under the direction or supervision of a healthcare professional for any of the following: </w:t>
      </w:r>
    </w:p>
    <w:p w:rsidR="00FC65A1" w:rsidRPr="00FC65A1" w:rsidRDefault="0083070F" w:rsidP="00FC65A1">
      <w:pPr>
        <w:pStyle w:val="ListBullet"/>
        <w:spacing w:before="120" w:after="120"/>
        <w:ind w:left="714" w:hanging="357"/>
      </w:pPr>
      <w:r>
        <w:t>A</w:t>
      </w:r>
      <w:r w:rsidR="00FC65A1" w:rsidRPr="00FC65A1">
        <w:t>n unapproved indication</w:t>
      </w:r>
      <w:r>
        <w:t>.</w:t>
      </w:r>
      <w:r w:rsidR="00FC65A1" w:rsidRPr="00FC65A1">
        <w:t xml:space="preserve"> </w:t>
      </w:r>
    </w:p>
    <w:p w:rsidR="00FC65A1" w:rsidRPr="00FC65A1" w:rsidRDefault="0083070F" w:rsidP="00FC65A1">
      <w:pPr>
        <w:pStyle w:val="ListBullet"/>
        <w:spacing w:before="120" w:after="120"/>
        <w:ind w:left="714" w:hanging="357"/>
      </w:pPr>
      <w:r>
        <w:t>A</w:t>
      </w:r>
      <w:r w:rsidR="00FC65A1" w:rsidRPr="00FC65A1">
        <w:t>n unapproved age group</w:t>
      </w:r>
      <w:r>
        <w:t>.</w:t>
      </w:r>
      <w:r w:rsidR="00FC65A1" w:rsidRPr="00FC65A1">
        <w:t xml:space="preserve"> </w:t>
      </w:r>
    </w:p>
    <w:p w:rsidR="00FC65A1" w:rsidRPr="00FC65A1" w:rsidRDefault="0083070F" w:rsidP="00FC65A1">
      <w:pPr>
        <w:pStyle w:val="ListBullet"/>
        <w:spacing w:before="120" w:after="120"/>
        <w:ind w:left="714" w:hanging="357"/>
      </w:pPr>
      <w:r>
        <w:t>U</w:t>
      </w:r>
      <w:r w:rsidR="00FC65A1" w:rsidRPr="00FC65A1">
        <w:t>napproved dosage</w:t>
      </w:r>
      <w:r>
        <w:t>.</w:t>
      </w:r>
    </w:p>
    <w:p w:rsidR="00FC65A1" w:rsidRDefault="0083070F" w:rsidP="00FC65A1">
      <w:pPr>
        <w:pStyle w:val="ListBullet"/>
        <w:spacing w:before="120" w:after="120"/>
        <w:ind w:left="714" w:hanging="357"/>
      </w:pPr>
      <w:r>
        <w:t>U</w:t>
      </w:r>
      <w:r w:rsidR="00FC65A1" w:rsidRPr="00FC65A1">
        <w:t>napproved</w:t>
      </w:r>
      <w:r w:rsidR="00A80C38">
        <w:t xml:space="preserve"> route or</w:t>
      </w:r>
      <w:r w:rsidR="00FC65A1" w:rsidRPr="00FC65A1">
        <w:t xml:space="preserve"> form of administration.</w:t>
      </w:r>
    </w:p>
    <w:p w:rsidR="00FC65A1" w:rsidRDefault="00FC65A1" w:rsidP="00FC65A1"/>
    <w:p w:rsidR="00FC65A1" w:rsidRDefault="00D2514C" w:rsidP="00FC65A1">
      <w:r>
        <w:t>Valid ICSRs</w:t>
      </w:r>
      <w:r w:rsidR="00FC65A1">
        <w:t xml:space="preserve"> associated with off-label </w:t>
      </w:r>
      <w:r>
        <w:t xml:space="preserve">use </w:t>
      </w:r>
      <w:r w:rsidR="00FC65A1">
        <w:t>should be forwarded to CARM</w:t>
      </w:r>
      <w:r w:rsidR="00CB09A1">
        <w:t>.</w:t>
      </w:r>
      <w:r w:rsidR="00C769DC">
        <w:t xml:space="preserve"> If the off-label use of an approved medicine occurs as part of a blinded clinical study, sponsors should not report adverse reactions until the identity of the medicine has been confirmed (see also Section 3.5.7).</w:t>
      </w:r>
    </w:p>
    <w:p w:rsidR="00CB09A1" w:rsidRDefault="00CB09A1" w:rsidP="00FC65A1"/>
    <w:p w:rsidR="00CB09A1" w:rsidRDefault="007B5344" w:rsidP="00E43734">
      <w:pPr>
        <w:pStyle w:val="NoHeading2"/>
        <w:keepNext/>
        <w:spacing w:before="120"/>
        <w:ind w:right="340"/>
        <w:rPr>
          <w:sz w:val="24"/>
          <w:szCs w:val="24"/>
        </w:rPr>
      </w:pPr>
      <w:bookmarkStart w:id="118" w:name="_Toc414346417"/>
      <w:bookmarkStart w:id="119" w:name="_Toc414522806"/>
      <w:r>
        <w:rPr>
          <w:sz w:val="24"/>
          <w:szCs w:val="24"/>
        </w:rPr>
        <w:t>3.</w:t>
      </w:r>
      <w:r w:rsidR="00161BE1">
        <w:rPr>
          <w:sz w:val="24"/>
          <w:szCs w:val="24"/>
        </w:rPr>
        <w:t>5</w:t>
      </w:r>
      <w:r w:rsidR="00EC0B7B">
        <w:rPr>
          <w:sz w:val="24"/>
          <w:szCs w:val="24"/>
        </w:rPr>
        <w:t>.</w:t>
      </w:r>
      <w:r w:rsidR="007F0424">
        <w:rPr>
          <w:sz w:val="24"/>
          <w:szCs w:val="24"/>
        </w:rPr>
        <w:t>7</w:t>
      </w:r>
      <w:r w:rsidR="00E43734" w:rsidRPr="008F2443">
        <w:rPr>
          <w:sz w:val="24"/>
          <w:szCs w:val="24"/>
        </w:rPr>
        <w:tab/>
      </w:r>
      <w:r w:rsidR="00CB09A1">
        <w:rPr>
          <w:sz w:val="24"/>
          <w:szCs w:val="24"/>
        </w:rPr>
        <w:t>Clinical trials</w:t>
      </w:r>
      <w:bookmarkEnd w:id="118"/>
      <w:bookmarkEnd w:id="119"/>
    </w:p>
    <w:p w:rsidR="00CB09A1" w:rsidRPr="00CB09A1" w:rsidRDefault="00CB09A1" w:rsidP="00CB09A1"/>
    <w:p w:rsidR="00CB09A1" w:rsidRPr="00CB09A1" w:rsidRDefault="00CB09A1" w:rsidP="00CB09A1">
      <w:r w:rsidRPr="00CB09A1">
        <w:t>Suspected adverse reactions occurring in clinical trials investigating new medicines should be reported</w:t>
      </w:r>
      <w:r>
        <w:t xml:space="preserve"> as detailed in the Guidelines on the Regulation of Therapeutic Products in New Zealand Part 11: </w:t>
      </w:r>
      <w:r w:rsidR="00481A9A" w:rsidRPr="00481A9A">
        <w:rPr>
          <w:i/>
        </w:rPr>
        <w:t>Clinical trials – regulatory approval and good clinical practice requirements</w:t>
      </w:r>
      <w:r w:rsidR="00481A9A">
        <w:t>.</w:t>
      </w:r>
    </w:p>
    <w:p w:rsidR="000C0128" w:rsidRDefault="000C0128" w:rsidP="00CB09A1"/>
    <w:p w:rsidR="000A4530" w:rsidRDefault="000A4530" w:rsidP="00CB09A1"/>
    <w:p w:rsidR="000A4530" w:rsidRDefault="000A4530" w:rsidP="00CB09A1"/>
    <w:p w:rsidR="000C0128" w:rsidRPr="000C0128" w:rsidRDefault="000C0128" w:rsidP="000C0128">
      <w:pPr>
        <w:pStyle w:val="NoHeading2"/>
        <w:keepNext/>
        <w:spacing w:before="120"/>
        <w:ind w:right="340"/>
        <w:rPr>
          <w:sz w:val="24"/>
          <w:szCs w:val="24"/>
        </w:rPr>
      </w:pPr>
      <w:bookmarkStart w:id="120" w:name="_Toc414346418"/>
      <w:bookmarkStart w:id="121" w:name="_Toc414522807"/>
      <w:r w:rsidRPr="000C0128">
        <w:rPr>
          <w:sz w:val="24"/>
          <w:szCs w:val="24"/>
        </w:rPr>
        <w:t>3.</w:t>
      </w:r>
      <w:r w:rsidR="00161BE1">
        <w:rPr>
          <w:sz w:val="24"/>
          <w:szCs w:val="24"/>
        </w:rPr>
        <w:t>5</w:t>
      </w:r>
      <w:r w:rsidR="007F0424">
        <w:rPr>
          <w:sz w:val="24"/>
          <w:szCs w:val="24"/>
        </w:rPr>
        <w:t>.8</w:t>
      </w:r>
      <w:r w:rsidRPr="000C0128">
        <w:rPr>
          <w:sz w:val="24"/>
          <w:szCs w:val="24"/>
        </w:rPr>
        <w:tab/>
        <w:t>Post authorisation studies</w:t>
      </w:r>
      <w:bookmarkEnd w:id="120"/>
      <w:bookmarkEnd w:id="121"/>
    </w:p>
    <w:p w:rsidR="000C0128" w:rsidRDefault="000C0128" w:rsidP="00CB09A1"/>
    <w:p w:rsidR="000C0128" w:rsidRDefault="00D20D58" w:rsidP="00CB09A1">
      <w:r>
        <w:t>Sponsors should report v</w:t>
      </w:r>
      <w:r w:rsidR="000C0128">
        <w:t>alid ICSRs of adverse reactions which are suspected</w:t>
      </w:r>
      <w:r w:rsidR="00AA28FD">
        <w:t xml:space="preserve"> by the principal investigator</w:t>
      </w:r>
      <w:r w:rsidR="000C0128">
        <w:t xml:space="preserve"> to be related to an approved medicine used in the study.</w:t>
      </w:r>
      <w:r w:rsidR="00ED5AF8">
        <w:t xml:space="preserve"> </w:t>
      </w:r>
    </w:p>
    <w:p w:rsidR="000B3DF8" w:rsidRPr="00CB09A1" w:rsidRDefault="000B3DF8" w:rsidP="00CB09A1"/>
    <w:p w:rsidR="00E43734" w:rsidRPr="008F2443" w:rsidRDefault="00CB09A1" w:rsidP="00E43734">
      <w:pPr>
        <w:pStyle w:val="NoHeading2"/>
        <w:keepNext/>
        <w:spacing w:before="120"/>
        <w:ind w:right="340"/>
        <w:rPr>
          <w:sz w:val="24"/>
          <w:szCs w:val="24"/>
        </w:rPr>
      </w:pPr>
      <w:bookmarkStart w:id="122" w:name="_Toc414346419"/>
      <w:bookmarkStart w:id="123" w:name="_Toc414522808"/>
      <w:r>
        <w:rPr>
          <w:sz w:val="24"/>
          <w:szCs w:val="24"/>
        </w:rPr>
        <w:t>3.</w:t>
      </w:r>
      <w:r w:rsidR="00161BE1">
        <w:rPr>
          <w:sz w:val="24"/>
          <w:szCs w:val="24"/>
        </w:rPr>
        <w:t>5</w:t>
      </w:r>
      <w:r>
        <w:rPr>
          <w:sz w:val="24"/>
          <w:szCs w:val="24"/>
        </w:rPr>
        <w:t>.</w:t>
      </w:r>
      <w:r w:rsidR="007F0424">
        <w:rPr>
          <w:sz w:val="24"/>
          <w:szCs w:val="24"/>
        </w:rPr>
        <w:t>9</w:t>
      </w:r>
      <w:r>
        <w:rPr>
          <w:sz w:val="24"/>
          <w:szCs w:val="24"/>
        </w:rPr>
        <w:tab/>
      </w:r>
      <w:r w:rsidR="00E43734" w:rsidRPr="008F2443">
        <w:rPr>
          <w:sz w:val="24"/>
          <w:szCs w:val="24"/>
        </w:rPr>
        <w:t>Medication errors</w:t>
      </w:r>
      <w:bookmarkEnd w:id="122"/>
      <w:bookmarkEnd w:id="123"/>
    </w:p>
    <w:p w:rsidR="00E43734" w:rsidRDefault="00E43734" w:rsidP="00E43734">
      <w:pPr>
        <w:rPr>
          <w:rFonts w:cs="Arial"/>
          <w:szCs w:val="22"/>
        </w:rPr>
      </w:pPr>
    </w:p>
    <w:p w:rsidR="00500E38" w:rsidRDefault="00500E38" w:rsidP="00500E38">
      <w:pPr>
        <w:rPr>
          <w:rFonts w:cs="Arial"/>
          <w:szCs w:val="22"/>
        </w:rPr>
      </w:pPr>
      <w:r>
        <w:rPr>
          <w:rFonts w:cs="Arial"/>
          <w:szCs w:val="22"/>
        </w:rPr>
        <w:t xml:space="preserve">A medication error is defined as </w:t>
      </w:r>
      <w:r w:rsidR="00C769DC">
        <w:rPr>
          <w:rFonts w:cs="Arial"/>
          <w:szCs w:val="22"/>
        </w:rPr>
        <w:t>“</w:t>
      </w:r>
      <w:r>
        <w:rPr>
          <w:rFonts w:cs="Arial"/>
          <w:szCs w:val="22"/>
        </w:rPr>
        <w:t>any unintentional error in the use of a medicine or vaccine</w:t>
      </w:r>
      <w:r w:rsidR="00C769DC">
        <w:rPr>
          <w:rFonts w:cs="Arial"/>
          <w:szCs w:val="22"/>
        </w:rPr>
        <w:t>”</w:t>
      </w:r>
      <w:r>
        <w:rPr>
          <w:rFonts w:cs="Arial"/>
          <w:szCs w:val="22"/>
        </w:rPr>
        <w:t>. This includes under</w:t>
      </w:r>
      <w:r w:rsidR="00C769DC">
        <w:rPr>
          <w:rFonts w:cs="Arial"/>
          <w:szCs w:val="22"/>
        </w:rPr>
        <w:t>-dosing</w:t>
      </w:r>
      <w:r>
        <w:rPr>
          <w:rFonts w:cs="Arial"/>
          <w:szCs w:val="22"/>
        </w:rPr>
        <w:t xml:space="preserve"> as well as overdose, and the erroneous administration of any medicine other than the intended medicine at the intended dose and frequency.</w:t>
      </w:r>
    </w:p>
    <w:p w:rsidR="00500E38" w:rsidRDefault="00500E38" w:rsidP="00E43734">
      <w:pPr>
        <w:rPr>
          <w:rFonts w:cs="Arial"/>
          <w:szCs w:val="22"/>
        </w:rPr>
      </w:pPr>
    </w:p>
    <w:p w:rsidR="00CB09A1" w:rsidRDefault="00CB09A1" w:rsidP="00CB09A1">
      <w:pPr>
        <w:rPr>
          <w:rFonts w:cs="Arial"/>
          <w:szCs w:val="22"/>
        </w:rPr>
      </w:pPr>
      <w:r>
        <w:rPr>
          <w:rFonts w:cs="Arial"/>
          <w:szCs w:val="22"/>
        </w:rPr>
        <w:t xml:space="preserve">Reports associated with a suspected adverse reaction should be reported to CARM provided they are valid unsolicited reports. </w:t>
      </w:r>
    </w:p>
    <w:p w:rsidR="00CB09A1" w:rsidRDefault="00CB09A1" w:rsidP="00E43734">
      <w:pPr>
        <w:rPr>
          <w:rFonts w:cs="Arial"/>
          <w:szCs w:val="22"/>
        </w:rPr>
      </w:pPr>
    </w:p>
    <w:p w:rsidR="00E43734" w:rsidRDefault="00CB09A1" w:rsidP="00E43734">
      <w:pPr>
        <w:rPr>
          <w:rFonts w:cs="Arial"/>
          <w:szCs w:val="22"/>
        </w:rPr>
      </w:pPr>
      <w:r>
        <w:rPr>
          <w:rFonts w:cs="Arial"/>
          <w:szCs w:val="22"/>
        </w:rPr>
        <w:t xml:space="preserve">Reports of medication error, whether associated with a suspected adverse reaction or not, </w:t>
      </w:r>
      <w:r w:rsidR="000B3DF8">
        <w:rPr>
          <w:rFonts w:cs="Arial"/>
          <w:szCs w:val="22"/>
        </w:rPr>
        <w:t>are also encouraged</w:t>
      </w:r>
      <w:r>
        <w:rPr>
          <w:rFonts w:cs="Arial"/>
          <w:szCs w:val="22"/>
        </w:rPr>
        <w:t xml:space="preserve"> </w:t>
      </w:r>
      <w:r w:rsidR="000B3DF8">
        <w:rPr>
          <w:rFonts w:cs="Arial"/>
          <w:szCs w:val="22"/>
        </w:rPr>
        <w:t xml:space="preserve">to </w:t>
      </w:r>
      <w:r>
        <w:rPr>
          <w:rFonts w:cs="Arial"/>
          <w:szCs w:val="22"/>
        </w:rPr>
        <w:t xml:space="preserve">be reported to the </w:t>
      </w:r>
      <w:r w:rsidR="00E43734">
        <w:rPr>
          <w:rFonts w:cs="Arial"/>
          <w:szCs w:val="22"/>
        </w:rPr>
        <w:t>Medication Error Reporting Programme (MERP).</w:t>
      </w:r>
    </w:p>
    <w:p w:rsidR="00E43734" w:rsidRDefault="00E43734" w:rsidP="00E43734">
      <w:pPr>
        <w:rPr>
          <w:rFonts w:cs="Arial"/>
          <w:szCs w:val="22"/>
        </w:rPr>
      </w:pPr>
    </w:p>
    <w:p w:rsidR="00E43734" w:rsidRDefault="00E43734" w:rsidP="00E43734">
      <w:pPr>
        <w:rPr>
          <w:rFonts w:cs="Arial"/>
          <w:szCs w:val="22"/>
        </w:rPr>
      </w:pPr>
      <w:r w:rsidRPr="00A55E09">
        <w:rPr>
          <w:rFonts w:cs="Arial"/>
          <w:szCs w:val="22"/>
        </w:rPr>
        <w:t xml:space="preserve">MERP collects and analyses voluntary reports of </w:t>
      </w:r>
      <w:r>
        <w:rPr>
          <w:rFonts w:cs="Arial"/>
          <w:szCs w:val="22"/>
        </w:rPr>
        <w:t xml:space="preserve">potential and </w:t>
      </w:r>
      <w:r w:rsidRPr="00A55E09">
        <w:rPr>
          <w:rFonts w:cs="Arial"/>
          <w:szCs w:val="22"/>
        </w:rPr>
        <w:t>actual medication errors with the aim of enhancing the safety of medication use</w:t>
      </w:r>
      <w:r w:rsidR="00D20D58">
        <w:rPr>
          <w:rFonts w:cs="Arial"/>
          <w:szCs w:val="22"/>
        </w:rPr>
        <w:t>. This is achieved</w:t>
      </w:r>
      <w:r w:rsidRPr="00A55E09">
        <w:rPr>
          <w:rFonts w:cs="Arial"/>
          <w:szCs w:val="22"/>
        </w:rPr>
        <w:t xml:space="preserve"> by </w:t>
      </w:r>
      <w:r>
        <w:rPr>
          <w:rFonts w:cs="Arial"/>
          <w:szCs w:val="22"/>
        </w:rPr>
        <w:t xml:space="preserve">analysing for patterns, trends and issues, and </w:t>
      </w:r>
      <w:r w:rsidRPr="00A55E09">
        <w:rPr>
          <w:rFonts w:cs="Arial"/>
          <w:szCs w:val="22"/>
        </w:rPr>
        <w:t xml:space="preserve">sharing </w:t>
      </w:r>
      <w:r>
        <w:rPr>
          <w:rFonts w:cs="Arial"/>
          <w:szCs w:val="22"/>
        </w:rPr>
        <w:t xml:space="preserve">the </w:t>
      </w:r>
      <w:r w:rsidRPr="00A55E09">
        <w:rPr>
          <w:rFonts w:cs="Arial"/>
          <w:szCs w:val="22"/>
        </w:rPr>
        <w:t>information about medication errors to reduce and prevent harmful errors</w:t>
      </w:r>
      <w:r>
        <w:rPr>
          <w:rFonts w:cs="Arial"/>
          <w:szCs w:val="22"/>
        </w:rPr>
        <w:t xml:space="preserve"> and inform quality </w:t>
      </w:r>
      <w:r w:rsidR="00ED5AF8">
        <w:rPr>
          <w:rFonts w:cs="Arial"/>
          <w:szCs w:val="22"/>
        </w:rPr>
        <w:t xml:space="preserve">and safety </w:t>
      </w:r>
      <w:r>
        <w:rPr>
          <w:rFonts w:cs="Arial"/>
          <w:szCs w:val="22"/>
        </w:rPr>
        <w:t>initiatives nationwide.</w:t>
      </w:r>
    </w:p>
    <w:p w:rsidR="00AC6789" w:rsidRDefault="00AC6789" w:rsidP="00E43734">
      <w:pPr>
        <w:rPr>
          <w:rFonts w:cs="Arial"/>
          <w:szCs w:val="22"/>
        </w:rPr>
      </w:pPr>
    </w:p>
    <w:p w:rsidR="00AC6789" w:rsidRDefault="00AC6789" w:rsidP="00E43734">
      <w:pPr>
        <w:rPr>
          <w:rFonts w:cs="Arial"/>
          <w:szCs w:val="22"/>
        </w:rPr>
      </w:pPr>
      <w:r>
        <w:rPr>
          <w:rFonts w:cs="Arial"/>
          <w:szCs w:val="22"/>
        </w:rPr>
        <w:t xml:space="preserve">MERP can be accessed at: </w:t>
      </w:r>
      <w:hyperlink r:id="rId34" w:history="1">
        <w:r>
          <w:rPr>
            <w:rStyle w:val="Hyperlink"/>
            <w:rFonts w:cs="Arial"/>
            <w:sz w:val="22"/>
            <w:szCs w:val="22"/>
          </w:rPr>
          <w:t>www.</w:t>
        </w:r>
        <w:r w:rsidRPr="00FF1C21">
          <w:rPr>
            <w:rStyle w:val="Hyperlink"/>
            <w:rFonts w:cs="Arial"/>
            <w:sz w:val="22"/>
            <w:szCs w:val="22"/>
          </w:rPr>
          <w:t>nzphvc.otago.ac.nz/merp/report/</w:t>
        </w:r>
      </w:hyperlink>
    </w:p>
    <w:p w:rsidR="00761AB3" w:rsidRDefault="00761AB3" w:rsidP="00E43734">
      <w:pPr>
        <w:rPr>
          <w:rFonts w:cs="Arial"/>
          <w:szCs w:val="22"/>
        </w:rPr>
      </w:pPr>
    </w:p>
    <w:p w:rsidR="008E20AE" w:rsidRPr="009444D2" w:rsidRDefault="009444D2" w:rsidP="009444D2">
      <w:pPr>
        <w:pStyle w:val="NoHeading2"/>
        <w:keepNext/>
        <w:spacing w:before="120"/>
        <w:ind w:right="340"/>
        <w:rPr>
          <w:sz w:val="24"/>
          <w:szCs w:val="24"/>
        </w:rPr>
      </w:pPr>
      <w:bookmarkStart w:id="124" w:name="_Toc414346420"/>
      <w:bookmarkStart w:id="125" w:name="_Toc414522809"/>
      <w:r>
        <w:rPr>
          <w:sz w:val="24"/>
          <w:szCs w:val="24"/>
        </w:rPr>
        <w:t>3</w:t>
      </w:r>
      <w:r w:rsidR="00AA6E7B">
        <w:rPr>
          <w:sz w:val="24"/>
          <w:szCs w:val="24"/>
        </w:rPr>
        <w:t>.</w:t>
      </w:r>
      <w:r w:rsidR="00161BE1">
        <w:rPr>
          <w:sz w:val="24"/>
          <w:szCs w:val="24"/>
        </w:rPr>
        <w:t>5</w:t>
      </w:r>
      <w:r w:rsidRPr="009444D2">
        <w:rPr>
          <w:sz w:val="24"/>
          <w:szCs w:val="24"/>
        </w:rPr>
        <w:t>.</w:t>
      </w:r>
      <w:r w:rsidR="007F0424">
        <w:rPr>
          <w:sz w:val="24"/>
          <w:szCs w:val="24"/>
        </w:rPr>
        <w:t>10</w:t>
      </w:r>
      <w:r w:rsidR="00003E3D" w:rsidRPr="009444D2">
        <w:rPr>
          <w:sz w:val="24"/>
          <w:szCs w:val="24"/>
        </w:rPr>
        <w:tab/>
      </w:r>
      <w:r w:rsidR="008E20AE" w:rsidRPr="009444D2">
        <w:rPr>
          <w:sz w:val="24"/>
          <w:szCs w:val="24"/>
        </w:rPr>
        <w:t>Overdose</w:t>
      </w:r>
      <w:r w:rsidR="00C02DA8">
        <w:rPr>
          <w:sz w:val="24"/>
          <w:szCs w:val="24"/>
        </w:rPr>
        <w:t xml:space="preserve"> or Occupational exposure</w:t>
      </w:r>
      <w:bookmarkEnd w:id="124"/>
      <w:bookmarkEnd w:id="125"/>
    </w:p>
    <w:p w:rsidR="008E20AE" w:rsidRPr="008E20AE" w:rsidRDefault="008E20AE" w:rsidP="00FD6B08">
      <w:pPr>
        <w:rPr>
          <w:rFonts w:cs="Arial"/>
          <w:szCs w:val="22"/>
        </w:rPr>
      </w:pPr>
    </w:p>
    <w:p w:rsidR="008E20AE" w:rsidRPr="008E20AE" w:rsidRDefault="00B81580" w:rsidP="00FD6B08">
      <w:pPr>
        <w:rPr>
          <w:rFonts w:cs="Arial"/>
          <w:szCs w:val="22"/>
        </w:rPr>
      </w:pPr>
      <w:r w:rsidRPr="008E20AE">
        <w:rPr>
          <w:rFonts w:cs="Arial"/>
          <w:szCs w:val="22"/>
        </w:rPr>
        <w:t xml:space="preserve">Reports of </w:t>
      </w:r>
      <w:r>
        <w:rPr>
          <w:rFonts w:cs="Arial"/>
          <w:szCs w:val="22"/>
        </w:rPr>
        <w:t>overdose</w:t>
      </w:r>
      <w:r w:rsidR="00C02DA8">
        <w:rPr>
          <w:rFonts w:cs="Arial"/>
          <w:szCs w:val="22"/>
        </w:rPr>
        <w:t xml:space="preserve"> or occupational exposure</w:t>
      </w:r>
      <w:r>
        <w:rPr>
          <w:rFonts w:cs="Arial"/>
          <w:szCs w:val="22"/>
        </w:rPr>
        <w:t xml:space="preserve"> with associated </w:t>
      </w:r>
      <w:r w:rsidR="006D3954">
        <w:rPr>
          <w:rFonts w:cs="Arial"/>
          <w:szCs w:val="22"/>
        </w:rPr>
        <w:t xml:space="preserve">adverse outcomes should be reported </w:t>
      </w:r>
      <w:r>
        <w:rPr>
          <w:rFonts w:cs="Arial"/>
          <w:szCs w:val="22"/>
        </w:rPr>
        <w:t xml:space="preserve">to </w:t>
      </w:r>
      <w:r w:rsidR="009444D2">
        <w:rPr>
          <w:rFonts w:cs="Arial"/>
          <w:szCs w:val="22"/>
        </w:rPr>
        <w:t xml:space="preserve">CARM </w:t>
      </w:r>
      <w:r w:rsidR="00C02DA8">
        <w:rPr>
          <w:rFonts w:cs="Arial"/>
          <w:szCs w:val="22"/>
        </w:rPr>
        <w:t xml:space="preserve">provided they are </w:t>
      </w:r>
      <w:r w:rsidR="00BB00F2">
        <w:rPr>
          <w:rFonts w:cs="Arial"/>
          <w:szCs w:val="22"/>
        </w:rPr>
        <w:t xml:space="preserve">valid </w:t>
      </w:r>
      <w:r w:rsidR="00C02DA8">
        <w:rPr>
          <w:rFonts w:cs="Arial"/>
          <w:szCs w:val="22"/>
        </w:rPr>
        <w:t>unsolicited reports</w:t>
      </w:r>
      <w:r w:rsidR="00D20D58">
        <w:rPr>
          <w:rFonts w:cs="Arial"/>
          <w:szCs w:val="22"/>
        </w:rPr>
        <w:t>.</w:t>
      </w:r>
      <w:r w:rsidR="00C02DA8">
        <w:rPr>
          <w:rFonts w:cs="Arial"/>
          <w:szCs w:val="22"/>
        </w:rPr>
        <w:t xml:space="preserve"> </w:t>
      </w:r>
      <w:r w:rsidR="00D20D58">
        <w:rPr>
          <w:rFonts w:cs="Arial"/>
          <w:szCs w:val="22"/>
        </w:rPr>
        <w:t xml:space="preserve">These </w:t>
      </w:r>
      <w:r w:rsidR="006D3954">
        <w:rPr>
          <w:rFonts w:cs="Arial"/>
          <w:szCs w:val="22"/>
        </w:rPr>
        <w:t>should be routinely followed up to ensure that the information is as complete as possible with respect to symptoms, treatment and outcome.</w:t>
      </w:r>
      <w:r w:rsidR="009444D2">
        <w:rPr>
          <w:rFonts w:cs="Arial"/>
          <w:szCs w:val="22"/>
        </w:rPr>
        <w:t xml:space="preserve"> </w:t>
      </w:r>
    </w:p>
    <w:p w:rsidR="008E20AE" w:rsidRDefault="008E20AE" w:rsidP="00FD6B08">
      <w:pPr>
        <w:rPr>
          <w:rFonts w:cs="Arial"/>
          <w:szCs w:val="22"/>
        </w:rPr>
      </w:pPr>
    </w:p>
    <w:p w:rsidR="009444D2" w:rsidRDefault="00B81580" w:rsidP="00FD6B08">
      <w:pPr>
        <w:rPr>
          <w:rFonts w:cs="Arial"/>
          <w:szCs w:val="22"/>
        </w:rPr>
      </w:pPr>
      <w:r w:rsidRPr="008E20AE">
        <w:rPr>
          <w:rFonts w:cs="Arial"/>
          <w:szCs w:val="22"/>
        </w:rPr>
        <w:t xml:space="preserve">Reports of </w:t>
      </w:r>
      <w:r>
        <w:rPr>
          <w:rFonts w:cs="Arial"/>
          <w:szCs w:val="22"/>
        </w:rPr>
        <w:t xml:space="preserve">overdose with no associated adverse outcome should not be reported as adverse reactions. </w:t>
      </w:r>
      <w:r w:rsidR="00C769DC">
        <w:rPr>
          <w:rFonts w:cs="Arial"/>
          <w:szCs w:val="22"/>
        </w:rPr>
        <w:t>R</w:t>
      </w:r>
      <w:r w:rsidR="009444D2">
        <w:rPr>
          <w:rFonts w:cs="Arial"/>
          <w:szCs w:val="22"/>
        </w:rPr>
        <w:t>eport</w:t>
      </w:r>
      <w:r w:rsidR="00C769DC">
        <w:rPr>
          <w:rFonts w:cs="Arial"/>
          <w:szCs w:val="22"/>
        </w:rPr>
        <w:t>s</w:t>
      </w:r>
      <w:r w:rsidR="009444D2">
        <w:rPr>
          <w:rFonts w:cs="Arial"/>
          <w:szCs w:val="22"/>
        </w:rPr>
        <w:t xml:space="preserve"> of overdose</w:t>
      </w:r>
      <w:r w:rsidR="00D2514C">
        <w:rPr>
          <w:rFonts w:cs="Arial"/>
          <w:szCs w:val="22"/>
        </w:rPr>
        <w:t xml:space="preserve"> associated with a medication error</w:t>
      </w:r>
      <w:r w:rsidR="009444D2">
        <w:rPr>
          <w:rFonts w:cs="Arial"/>
          <w:szCs w:val="22"/>
        </w:rPr>
        <w:t xml:space="preserve"> should be reported to MERP.</w:t>
      </w:r>
    </w:p>
    <w:p w:rsidR="00C02DA8" w:rsidRDefault="00C02DA8" w:rsidP="00FD6B08">
      <w:pPr>
        <w:rPr>
          <w:rFonts w:cs="Arial"/>
          <w:szCs w:val="22"/>
        </w:rPr>
      </w:pPr>
    </w:p>
    <w:p w:rsidR="00C02DA8" w:rsidRDefault="00C02DA8" w:rsidP="00C02DA8">
      <w:pPr>
        <w:spacing w:line="280" w:lineRule="atLeast"/>
        <w:rPr>
          <w:rFonts w:cs="Arial"/>
          <w:szCs w:val="22"/>
        </w:rPr>
      </w:pPr>
      <w:r>
        <w:rPr>
          <w:rFonts w:cs="Arial"/>
          <w:szCs w:val="22"/>
        </w:rPr>
        <w:t>Reports of occupational exposure with no adverse reaction should not be</w:t>
      </w:r>
      <w:r w:rsidR="00040B27">
        <w:rPr>
          <w:rFonts w:cs="Arial"/>
          <w:szCs w:val="22"/>
        </w:rPr>
        <w:t xml:space="preserve"> reported</w:t>
      </w:r>
      <w:r>
        <w:rPr>
          <w:rFonts w:cs="Arial"/>
          <w:szCs w:val="22"/>
        </w:rPr>
        <w:t xml:space="preserve"> but should be considered</w:t>
      </w:r>
      <w:r w:rsidR="00040B27">
        <w:rPr>
          <w:rFonts w:cs="Arial"/>
          <w:szCs w:val="22"/>
        </w:rPr>
        <w:t xml:space="preserve"> </w:t>
      </w:r>
      <w:r>
        <w:rPr>
          <w:rFonts w:cs="Arial"/>
          <w:szCs w:val="22"/>
        </w:rPr>
        <w:t xml:space="preserve">in </w:t>
      </w:r>
      <w:r w:rsidR="00D2514C">
        <w:rPr>
          <w:rFonts w:cs="Arial"/>
          <w:szCs w:val="22"/>
        </w:rPr>
        <w:t>PBRERs</w:t>
      </w:r>
      <w:r>
        <w:rPr>
          <w:rFonts w:cs="Arial"/>
          <w:szCs w:val="22"/>
        </w:rPr>
        <w:t>.</w:t>
      </w:r>
    </w:p>
    <w:p w:rsidR="0000483E" w:rsidRDefault="0000483E" w:rsidP="00400804">
      <w:pPr>
        <w:spacing w:line="280" w:lineRule="atLeast"/>
        <w:rPr>
          <w:rFonts w:cs="Arial"/>
          <w:szCs w:val="22"/>
        </w:rPr>
      </w:pPr>
    </w:p>
    <w:p w:rsidR="00941876" w:rsidRPr="00941876" w:rsidRDefault="00161BE1" w:rsidP="00941876">
      <w:pPr>
        <w:pStyle w:val="NoHeading2"/>
        <w:keepNext/>
        <w:spacing w:before="120"/>
        <w:ind w:right="340"/>
        <w:rPr>
          <w:sz w:val="24"/>
          <w:szCs w:val="24"/>
        </w:rPr>
      </w:pPr>
      <w:bookmarkStart w:id="126" w:name="_Toc414346421"/>
      <w:bookmarkStart w:id="127" w:name="_Toc414522810"/>
      <w:r>
        <w:rPr>
          <w:sz w:val="24"/>
          <w:szCs w:val="24"/>
        </w:rPr>
        <w:t>3.5</w:t>
      </w:r>
      <w:r w:rsidR="007F0424">
        <w:rPr>
          <w:sz w:val="24"/>
          <w:szCs w:val="24"/>
        </w:rPr>
        <w:t>.11</w:t>
      </w:r>
      <w:r w:rsidR="00941876" w:rsidRPr="00941876">
        <w:rPr>
          <w:sz w:val="24"/>
          <w:szCs w:val="24"/>
        </w:rPr>
        <w:tab/>
        <w:t xml:space="preserve">Medicines supplied under section 25 </w:t>
      </w:r>
      <w:r w:rsidR="005B387B">
        <w:rPr>
          <w:sz w:val="24"/>
          <w:szCs w:val="24"/>
        </w:rPr>
        <w:t>or</w:t>
      </w:r>
      <w:r w:rsidR="00941876" w:rsidRPr="00941876">
        <w:rPr>
          <w:sz w:val="24"/>
          <w:szCs w:val="24"/>
        </w:rPr>
        <w:t xml:space="preserve"> section 29</w:t>
      </w:r>
      <w:bookmarkEnd w:id="126"/>
      <w:bookmarkEnd w:id="127"/>
    </w:p>
    <w:p w:rsidR="00941876" w:rsidRDefault="00941876" w:rsidP="00400804">
      <w:pPr>
        <w:spacing w:line="280" w:lineRule="atLeast"/>
        <w:rPr>
          <w:rFonts w:cs="Arial"/>
          <w:szCs w:val="22"/>
        </w:rPr>
      </w:pPr>
    </w:p>
    <w:p w:rsidR="00941876" w:rsidRDefault="00941876" w:rsidP="00400804">
      <w:pPr>
        <w:spacing w:line="280" w:lineRule="atLeast"/>
        <w:rPr>
          <w:rFonts w:cs="Arial"/>
          <w:szCs w:val="22"/>
        </w:rPr>
      </w:pPr>
      <w:r>
        <w:rPr>
          <w:rFonts w:cs="Arial"/>
          <w:szCs w:val="22"/>
        </w:rPr>
        <w:t xml:space="preserve">Supply of medicines under </w:t>
      </w:r>
      <w:r w:rsidR="002B076A">
        <w:rPr>
          <w:rFonts w:cs="Arial"/>
          <w:szCs w:val="22"/>
        </w:rPr>
        <w:t xml:space="preserve">the exemption provisions in </w:t>
      </w:r>
      <w:r>
        <w:rPr>
          <w:rFonts w:cs="Arial"/>
          <w:szCs w:val="22"/>
        </w:rPr>
        <w:t xml:space="preserve">sections 25 or 29 of the Act is considered to be similar to named patient use in other countries. Valid ICSRs detailing serious unexpected suspected adverse reactions </w:t>
      </w:r>
      <w:r w:rsidR="00D2514C">
        <w:rPr>
          <w:rFonts w:cs="Arial"/>
          <w:szCs w:val="22"/>
        </w:rPr>
        <w:t xml:space="preserve">to these medicines </w:t>
      </w:r>
      <w:r>
        <w:rPr>
          <w:rFonts w:cs="Arial"/>
          <w:szCs w:val="22"/>
        </w:rPr>
        <w:t>should be reported.</w:t>
      </w:r>
    </w:p>
    <w:p w:rsidR="00941876" w:rsidRDefault="00941876" w:rsidP="00400804">
      <w:pPr>
        <w:spacing w:line="280" w:lineRule="atLeast"/>
        <w:rPr>
          <w:rFonts w:cs="Arial"/>
          <w:szCs w:val="22"/>
        </w:rPr>
      </w:pPr>
    </w:p>
    <w:p w:rsidR="00941876" w:rsidRPr="00941876" w:rsidRDefault="00161BE1" w:rsidP="00941876">
      <w:pPr>
        <w:pStyle w:val="NoHeading2"/>
        <w:keepNext/>
        <w:spacing w:before="120"/>
        <w:ind w:right="340"/>
        <w:rPr>
          <w:sz w:val="24"/>
          <w:szCs w:val="24"/>
        </w:rPr>
      </w:pPr>
      <w:bookmarkStart w:id="128" w:name="_Toc414346422"/>
      <w:bookmarkStart w:id="129" w:name="_Toc414522811"/>
      <w:r>
        <w:rPr>
          <w:sz w:val="24"/>
          <w:szCs w:val="24"/>
        </w:rPr>
        <w:t>3.5</w:t>
      </w:r>
      <w:r w:rsidR="000C0128">
        <w:rPr>
          <w:sz w:val="24"/>
          <w:szCs w:val="24"/>
        </w:rPr>
        <w:t>.1</w:t>
      </w:r>
      <w:r w:rsidR="007F0424">
        <w:rPr>
          <w:sz w:val="24"/>
          <w:szCs w:val="24"/>
        </w:rPr>
        <w:t>2</w:t>
      </w:r>
      <w:r w:rsidR="00941876">
        <w:rPr>
          <w:sz w:val="24"/>
          <w:szCs w:val="24"/>
        </w:rPr>
        <w:tab/>
      </w:r>
      <w:r w:rsidR="00941876" w:rsidRPr="00941876">
        <w:rPr>
          <w:sz w:val="24"/>
          <w:szCs w:val="24"/>
        </w:rPr>
        <w:t>Period after suspension or withdrawal of approval</w:t>
      </w:r>
      <w:bookmarkEnd w:id="128"/>
      <w:bookmarkEnd w:id="129"/>
    </w:p>
    <w:p w:rsidR="00941876" w:rsidRDefault="00941876" w:rsidP="00941876">
      <w:pPr>
        <w:spacing w:line="280" w:lineRule="atLeast"/>
        <w:rPr>
          <w:rFonts w:cs="Arial"/>
          <w:szCs w:val="22"/>
        </w:rPr>
      </w:pPr>
    </w:p>
    <w:p w:rsidR="00941876" w:rsidRDefault="00941876" w:rsidP="00941876">
      <w:pPr>
        <w:spacing w:line="280" w:lineRule="atLeast"/>
        <w:rPr>
          <w:rFonts w:cs="Arial"/>
          <w:szCs w:val="22"/>
        </w:rPr>
      </w:pPr>
      <w:r>
        <w:rPr>
          <w:rFonts w:cs="Arial"/>
          <w:szCs w:val="22"/>
        </w:rPr>
        <w:t>All valid serious ICSRs identified by the sponsor after suspension or withdrawal of a medicine should be reported to CARM.</w:t>
      </w:r>
    </w:p>
    <w:p w:rsidR="00941876" w:rsidRDefault="00941876" w:rsidP="00400804">
      <w:pPr>
        <w:spacing w:line="280" w:lineRule="atLeast"/>
        <w:rPr>
          <w:rFonts w:cs="Arial"/>
          <w:szCs w:val="22"/>
        </w:rPr>
      </w:pPr>
    </w:p>
    <w:p w:rsidR="00236FA3" w:rsidRPr="00236FA3" w:rsidRDefault="00161BE1" w:rsidP="00236FA3">
      <w:pPr>
        <w:pStyle w:val="NoHeading2"/>
        <w:keepNext/>
        <w:spacing w:before="120"/>
        <w:ind w:right="340"/>
        <w:rPr>
          <w:sz w:val="24"/>
          <w:szCs w:val="24"/>
        </w:rPr>
      </w:pPr>
      <w:bookmarkStart w:id="130" w:name="_Toc414346423"/>
      <w:bookmarkStart w:id="131" w:name="_Toc414522812"/>
      <w:r>
        <w:rPr>
          <w:sz w:val="24"/>
          <w:szCs w:val="24"/>
        </w:rPr>
        <w:t>3.5</w:t>
      </w:r>
      <w:r w:rsidR="007F0424">
        <w:rPr>
          <w:sz w:val="24"/>
          <w:szCs w:val="24"/>
        </w:rPr>
        <w:t>.13</w:t>
      </w:r>
      <w:r w:rsidR="00236FA3" w:rsidRPr="00236FA3">
        <w:rPr>
          <w:sz w:val="24"/>
          <w:szCs w:val="24"/>
        </w:rPr>
        <w:tab/>
        <w:t>Media reports</w:t>
      </w:r>
      <w:bookmarkEnd w:id="130"/>
      <w:bookmarkEnd w:id="131"/>
    </w:p>
    <w:p w:rsidR="00236FA3" w:rsidRDefault="00236FA3" w:rsidP="00400804">
      <w:pPr>
        <w:spacing w:line="280" w:lineRule="atLeast"/>
        <w:rPr>
          <w:rFonts w:cs="Arial"/>
          <w:szCs w:val="22"/>
        </w:rPr>
      </w:pPr>
    </w:p>
    <w:p w:rsidR="00236FA3" w:rsidRDefault="00236FA3" w:rsidP="00400804">
      <w:pPr>
        <w:spacing w:line="280" w:lineRule="atLeast"/>
        <w:rPr>
          <w:rFonts w:cs="Arial"/>
          <w:szCs w:val="22"/>
        </w:rPr>
      </w:pPr>
      <w:r>
        <w:rPr>
          <w:rFonts w:cs="Arial"/>
          <w:szCs w:val="22"/>
        </w:rPr>
        <w:t xml:space="preserve">Reports of suspected adverse reactions originating from a non-medical source, such as the lay </w:t>
      </w:r>
      <w:r w:rsidR="00ED77FF">
        <w:rPr>
          <w:rFonts w:cs="Arial"/>
          <w:szCs w:val="22"/>
        </w:rPr>
        <w:t>media</w:t>
      </w:r>
      <w:r>
        <w:rPr>
          <w:rFonts w:cs="Arial"/>
          <w:szCs w:val="22"/>
        </w:rPr>
        <w:t>, should be considered to be a spontaneous report.</w:t>
      </w:r>
    </w:p>
    <w:p w:rsidR="00236FA3" w:rsidRDefault="00236FA3" w:rsidP="00400804">
      <w:pPr>
        <w:spacing w:line="280" w:lineRule="atLeast"/>
        <w:rPr>
          <w:rFonts w:cs="Arial"/>
          <w:szCs w:val="22"/>
        </w:rPr>
      </w:pPr>
    </w:p>
    <w:p w:rsidR="00236FA3" w:rsidRDefault="00236FA3" w:rsidP="00BB00F2">
      <w:pPr>
        <w:spacing w:line="280" w:lineRule="atLeast"/>
        <w:rPr>
          <w:rFonts w:cs="Arial"/>
          <w:szCs w:val="22"/>
        </w:rPr>
      </w:pPr>
      <w:r w:rsidRPr="00040B27">
        <w:rPr>
          <w:rFonts w:cs="Arial"/>
          <w:szCs w:val="22"/>
        </w:rPr>
        <w:t xml:space="preserve">Sponsors should regularly </w:t>
      </w:r>
      <w:r w:rsidR="00BB00F2">
        <w:rPr>
          <w:rFonts w:cs="Arial"/>
          <w:szCs w:val="22"/>
        </w:rPr>
        <w:t xml:space="preserve">monitor and </w:t>
      </w:r>
      <w:r w:rsidRPr="00040B27">
        <w:rPr>
          <w:rFonts w:cs="Arial"/>
          <w:szCs w:val="22"/>
        </w:rPr>
        <w:t xml:space="preserve">review </w:t>
      </w:r>
      <w:proofErr w:type="gramStart"/>
      <w:r w:rsidRPr="00040B27">
        <w:rPr>
          <w:rFonts w:cs="Arial"/>
          <w:szCs w:val="22"/>
        </w:rPr>
        <w:t>lay</w:t>
      </w:r>
      <w:proofErr w:type="gramEnd"/>
      <w:r w:rsidRPr="00040B27">
        <w:rPr>
          <w:rFonts w:cs="Arial"/>
          <w:szCs w:val="22"/>
        </w:rPr>
        <w:t xml:space="preserve"> internet </w:t>
      </w:r>
      <w:r w:rsidR="00040B27" w:rsidRPr="00040B27">
        <w:rPr>
          <w:rFonts w:cs="Arial"/>
          <w:szCs w:val="22"/>
        </w:rPr>
        <w:t xml:space="preserve">sites </w:t>
      </w:r>
      <w:r w:rsidR="00BB00F2">
        <w:rPr>
          <w:rFonts w:cs="Arial"/>
          <w:szCs w:val="22"/>
        </w:rPr>
        <w:t xml:space="preserve">(such as chat rooms and discussion forums) for potential reports of suspected adverse reactions. Sponsors should also regularly monitor and review </w:t>
      </w:r>
      <w:r w:rsidRPr="00040B27">
        <w:rPr>
          <w:rFonts w:cs="Arial"/>
          <w:szCs w:val="22"/>
        </w:rPr>
        <w:t xml:space="preserve">digital media </w:t>
      </w:r>
      <w:r w:rsidR="00040B27" w:rsidRPr="00040B27">
        <w:rPr>
          <w:rFonts w:cs="Arial"/>
          <w:szCs w:val="22"/>
        </w:rPr>
        <w:t xml:space="preserve">sites </w:t>
      </w:r>
      <w:r w:rsidR="00BB00F2" w:rsidRPr="00040B27">
        <w:rPr>
          <w:rFonts w:cs="Arial"/>
          <w:szCs w:val="22"/>
        </w:rPr>
        <w:t>for which they are responsible</w:t>
      </w:r>
      <w:r>
        <w:rPr>
          <w:rFonts w:cs="Arial"/>
          <w:szCs w:val="22"/>
        </w:rPr>
        <w:t>. When sponsors become aware of unsolicited cases of suspected adverse reactions from the internet or digital media, these should be considered to be spontaneous reports and reported to CARM</w:t>
      </w:r>
      <w:r w:rsidR="00ED5AF8">
        <w:rPr>
          <w:rFonts w:cs="Arial"/>
          <w:szCs w:val="22"/>
        </w:rPr>
        <w:t>, subject to the criteria for a valid report (see Section 3.3.2).</w:t>
      </w:r>
    </w:p>
    <w:p w:rsidR="00236FA3" w:rsidRDefault="00236FA3" w:rsidP="00400804">
      <w:pPr>
        <w:spacing w:line="280" w:lineRule="atLeast"/>
        <w:rPr>
          <w:rFonts w:cs="Arial"/>
          <w:szCs w:val="22"/>
        </w:rPr>
      </w:pPr>
    </w:p>
    <w:p w:rsidR="00236FA3" w:rsidRPr="00236FA3" w:rsidRDefault="00161BE1" w:rsidP="00236FA3">
      <w:pPr>
        <w:pStyle w:val="NoHeading2"/>
        <w:keepNext/>
        <w:spacing w:before="120"/>
        <w:ind w:right="340"/>
        <w:rPr>
          <w:sz w:val="24"/>
          <w:szCs w:val="24"/>
        </w:rPr>
      </w:pPr>
      <w:bookmarkStart w:id="132" w:name="_Toc414346424"/>
      <w:bookmarkStart w:id="133" w:name="_Toc414522813"/>
      <w:r>
        <w:rPr>
          <w:sz w:val="24"/>
          <w:szCs w:val="24"/>
        </w:rPr>
        <w:t>3.5</w:t>
      </w:r>
      <w:r w:rsidR="007F0424">
        <w:rPr>
          <w:sz w:val="24"/>
          <w:szCs w:val="24"/>
        </w:rPr>
        <w:t>.14</w:t>
      </w:r>
      <w:r w:rsidR="00236FA3" w:rsidRPr="00236FA3">
        <w:rPr>
          <w:sz w:val="24"/>
          <w:szCs w:val="24"/>
        </w:rPr>
        <w:tab/>
        <w:t>Reports from the scientific and medical literature</w:t>
      </w:r>
      <w:bookmarkEnd w:id="132"/>
      <w:bookmarkEnd w:id="133"/>
    </w:p>
    <w:p w:rsidR="00236FA3" w:rsidRDefault="00236FA3" w:rsidP="00400804">
      <w:pPr>
        <w:spacing w:line="280" w:lineRule="atLeast"/>
        <w:rPr>
          <w:rFonts w:cs="Arial"/>
          <w:szCs w:val="22"/>
        </w:rPr>
      </w:pPr>
    </w:p>
    <w:p w:rsidR="00236FA3" w:rsidRDefault="00236FA3" w:rsidP="00400804">
      <w:pPr>
        <w:spacing w:line="280" w:lineRule="atLeast"/>
        <w:rPr>
          <w:rFonts w:cs="Arial"/>
          <w:szCs w:val="22"/>
        </w:rPr>
      </w:pPr>
      <w:r>
        <w:rPr>
          <w:rFonts w:cs="Arial"/>
          <w:szCs w:val="22"/>
        </w:rPr>
        <w:t xml:space="preserve">Sponsors should </w:t>
      </w:r>
      <w:r w:rsidR="0074361E">
        <w:rPr>
          <w:rFonts w:cs="Arial"/>
          <w:szCs w:val="22"/>
        </w:rPr>
        <w:t>frequently r</w:t>
      </w:r>
      <w:r>
        <w:rPr>
          <w:rFonts w:cs="Arial"/>
          <w:szCs w:val="22"/>
        </w:rPr>
        <w:t>eview and assess reports of suspected adverse reactions from the scientific and medical literature to identify and record ICSRs.</w:t>
      </w:r>
      <w:r w:rsidR="0074361E">
        <w:rPr>
          <w:rFonts w:cs="Arial"/>
          <w:szCs w:val="22"/>
        </w:rPr>
        <w:t xml:space="preserve"> It is recommended that reviews should be conducted not less than every three months. Reviews should only commence from the time that the medicine is placed on the market and not from the time of submission of the new medicine application, or from the grant of consent to distribute a new medicine.</w:t>
      </w:r>
    </w:p>
    <w:p w:rsidR="00236FA3" w:rsidRDefault="00236FA3" w:rsidP="00400804">
      <w:pPr>
        <w:spacing w:line="280" w:lineRule="atLeast"/>
        <w:rPr>
          <w:rFonts w:cs="Arial"/>
          <w:szCs w:val="22"/>
        </w:rPr>
      </w:pPr>
    </w:p>
    <w:p w:rsidR="00236FA3" w:rsidRDefault="00236FA3" w:rsidP="00400804">
      <w:pPr>
        <w:spacing w:line="280" w:lineRule="atLeast"/>
        <w:rPr>
          <w:rFonts w:cs="Arial"/>
          <w:szCs w:val="22"/>
        </w:rPr>
      </w:pPr>
      <w:r>
        <w:rPr>
          <w:rFonts w:cs="Arial"/>
          <w:szCs w:val="22"/>
        </w:rPr>
        <w:t xml:space="preserve">If multiple medicines are mentioned in the publication, only those </w:t>
      </w:r>
      <w:r w:rsidR="00040B27">
        <w:rPr>
          <w:rFonts w:cs="Arial"/>
          <w:szCs w:val="22"/>
        </w:rPr>
        <w:t>that</w:t>
      </w:r>
      <w:r>
        <w:rPr>
          <w:rFonts w:cs="Arial"/>
          <w:szCs w:val="22"/>
        </w:rPr>
        <w:t xml:space="preserve"> are identified by the author(s) as having at least a causal relationship with the suspected adverse reaction should be considered by the sponsor.</w:t>
      </w:r>
    </w:p>
    <w:p w:rsidR="00236FA3" w:rsidRDefault="00236FA3" w:rsidP="00400804">
      <w:pPr>
        <w:spacing w:line="280" w:lineRule="atLeast"/>
        <w:rPr>
          <w:rFonts w:cs="Arial"/>
          <w:szCs w:val="22"/>
        </w:rPr>
      </w:pPr>
    </w:p>
    <w:p w:rsidR="00236FA3" w:rsidRDefault="00236FA3" w:rsidP="00400804">
      <w:pPr>
        <w:spacing w:line="280" w:lineRule="atLeast"/>
        <w:rPr>
          <w:rFonts w:cs="Arial"/>
          <w:szCs w:val="22"/>
        </w:rPr>
      </w:pPr>
      <w:r>
        <w:rPr>
          <w:rFonts w:cs="Arial"/>
          <w:szCs w:val="22"/>
        </w:rPr>
        <w:t>One case should be created for each single identifiable patient</w:t>
      </w:r>
      <w:r w:rsidR="00ED5AF8">
        <w:rPr>
          <w:rFonts w:cs="Arial"/>
          <w:szCs w:val="22"/>
        </w:rPr>
        <w:t>, subject to the criteria for a valid report (see Section 3.3.2)</w:t>
      </w:r>
      <w:r>
        <w:rPr>
          <w:rFonts w:cs="Arial"/>
          <w:szCs w:val="22"/>
        </w:rPr>
        <w:t>. Relevant medical information should be provided and the publication author(s) should be considered to be the primary source(s).</w:t>
      </w:r>
    </w:p>
    <w:p w:rsidR="00236FA3" w:rsidRDefault="00236FA3" w:rsidP="00400804">
      <w:pPr>
        <w:spacing w:line="280" w:lineRule="atLeast"/>
        <w:rPr>
          <w:rFonts w:cs="Arial"/>
          <w:szCs w:val="22"/>
        </w:rPr>
      </w:pPr>
    </w:p>
    <w:p w:rsidR="00236FA3" w:rsidRDefault="00236FA3" w:rsidP="00400804">
      <w:pPr>
        <w:spacing w:line="280" w:lineRule="atLeast"/>
        <w:rPr>
          <w:rFonts w:cs="Arial"/>
          <w:szCs w:val="22"/>
        </w:rPr>
      </w:pPr>
      <w:r>
        <w:rPr>
          <w:rFonts w:cs="Arial"/>
          <w:szCs w:val="22"/>
        </w:rPr>
        <w:t xml:space="preserve">Sponsors should report only cases occurring in New Zealand for a medicine they distribute. </w:t>
      </w:r>
      <w:r w:rsidR="0082521E">
        <w:rPr>
          <w:rFonts w:cs="Arial"/>
          <w:szCs w:val="22"/>
        </w:rPr>
        <w:t>If</w:t>
      </w:r>
      <w:r>
        <w:rPr>
          <w:rFonts w:cs="Arial"/>
          <w:szCs w:val="22"/>
        </w:rPr>
        <w:t xml:space="preserve"> the brand of medicine is not reported, sponsors should only report if their medicine was funded </w:t>
      </w:r>
      <w:r w:rsidR="00C769DC">
        <w:rPr>
          <w:rFonts w:cs="Arial"/>
          <w:szCs w:val="22"/>
        </w:rPr>
        <w:t xml:space="preserve">or was in use </w:t>
      </w:r>
      <w:r w:rsidR="0082521E">
        <w:rPr>
          <w:rFonts w:cs="Arial"/>
          <w:szCs w:val="22"/>
        </w:rPr>
        <w:t xml:space="preserve">in New Zealand </w:t>
      </w:r>
      <w:r>
        <w:rPr>
          <w:rFonts w:cs="Arial"/>
          <w:szCs w:val="22"/>
        </w:rPr>
        <w:t xml:space="preserve">at the time of the suspected adverse reaction reported in the publication. </w:t>
      </w:r>
      <w:r w:rsidR="00D2514C">
        <w:rPr>
          <w:rFonts w:cs="Arial"/>
          <w:szCs w:val="22"/>
        </w:rPr>
        <w:t xml:space="preserve">This helps to reduce duplicate reporting. </w:t>
      </w:r>
      <w:r>
        <w:rPr>
          <w:rFonts w:cs="Arial"/>
          <w:szCs w:val="22"/>
        </w:rPr>
        <w:t>A reference and/or copy of the publication should accompany the report.</w:t>
      </w:r>
    </w:p>
    <w:p w:rsidR="00236FA3" w:rsidRDefault="00236FA3" w:rsidP="00400804">
      <w:pPr>
        <w:spacing w:line="280" w:lineRule="atLeast"/>
        <w:rPr>
          <w:rFonts w:cs="Arial"/>
          <w:szCs w:val="22"/>
        </w:rPr>
      </w:pPr>
    </w:p>
    <w:p w:rsidR="00941876" w:rsidRPr="00941876" w:rsidRDefault="00161BE1" w:rsidP="00941876">
      <w:pPr>
        <w:pStyle w:val="NoHeading2"/>
        <w:keepNext/>
        <w:spacing w:before="120"/>
        <w:ind w:left="1134" w:right="340" w:hanging="1134"/>
        <w:rPr>
          <w:sz w:val="24"/>
          <w:szCs w:val="24"/>
        </w:rPr>
      </w:pPr>
      <w:bookmarkStart w:id="134" w:name="_Toc414346425"/>
      <w:bookmarkStart w:id="135" w:name="_Toc414522814"/>
      <w:r>
        <w:rPr>
          <w:sz w:val="24"/>
          <w:szCs w:val="24"/>
        </w:rPr>
        <w:t>3.5</w:t>
      </w:r>
      <w:r w:rsidR="00941876" w:rsidRPr="00941876">
        <w:rPr>
          <w:sz w:val="24"/>
          <w:szCs w:val="24"/>
        </w:rPr>
        <w:t>.1</w:t>
      </w:r>
      <w:r w:rsidR="007F0424">
        <w:rPr>
          <w:sz w:val="24"/>
          <w:szCs w:val="24"/>
        </w:rPr>
        <w:t>5</w:t>
      </w:r>
      <w:r w:rsidR="00941876" w:rsidRPr="00941876">
        <w:rPr>
          <w:sz w:val="24"/>
          <w:szCs w:val="24"/>
        </w:rPr>
        <w:tab/>
      </w:r>
      <w:proofErr w:type="gramStart"/>
      <w:r w:rsidR="00941876" w:rsidRPr="00941876">
        <w:rPr>
          <w:sz w:val="24"/>
          <w:szCs w:val="24"/>
        </w:rPr>
        <w:t>Suspected</w:t>
      </w:r>
      <w:proofErr w:type="gramEnd"/>
      <w:r w:rsidR="00941876" w:rsidRPr="00941876">
        <w:rPr>
          <w:sz w:val="24"/>
          <w:szCs w:val="24"/>
        </w:rPr>
        <w:t xml:space="preserve"> adverse reactions related to quality defect or falsified medicine</w:t>
      </w:r>
      <w:bookmarkEnd w:id="134"/>
      <w:bookmarkEnd w:id="135"/>
      <w:r w:rsidR="00941876" w:rsidRPr="00941876">
        <w:rPr>
          <w:sz w:val="24"/>
          <w:szCs w:val="24"/>
        </w:rPr>
        <w:t xml:space="preserve"> </w:t>
      </w:r>
    </w:p>
    <w:p w:rsidR="00941876" w:rsidRDefault="00941876" w:rsidP="00941876">
      <w:pPr>
        <w:spacing w:line="280" w:lineRule="atLeast"/>
        <w:rPr>
          <w:rFonts w:cs="Arial"/>
          <w:szCs w:val="22"/>
        </w:rPr>
      </w:pPr>
    </w:p>
    <w:p w:rsidR="005B387B" w:rsidRDefault="00AF34D6" w:rsidP="00AF34D6">
      <w:pPr>
        <w:rPr>
          <w:rFonts w:cs="Arial"/>
          <w:szCs w:val="22"/>
        </w:rPr>
      </w:pPr>
      <w:r>
        <w:rPr>
          <w:rFonts w:cs="Arial"/>
          <w:szCs w:val="22"/>
        </w:rPr>
        <w:t>A report of adverse reactions associated with suspected or confirmed quality defects including adulteration or contamination, or falsified medicine</w:t>
      </w:r>
      <w:r w:rsidR="00E64A62">
        <w:rPr>
          <w:rFonts w:cs="Arial"/>
          <w:szCs w:val="22"/>
        </w:rPr>
        <w:t xml:space="preserve"> </w:t>
      </w:r>
      <w:r w:rsidR="00136570">
        <w:rPr>
          <w:rFonts w:cs="Arial"/>
          <w:szCs w:val="22"/>
        </w:rPr>
        <w:t>(</w:t>
      </w:r>
      <w:r w:rsidR="00E64A62">
        <w:rPr>
          <w:rFonts w:cs="Arial"/>
          <w:szCs w:val="22"/>
        </w:rPr>
        <w:t>such as counterfeit or tampering</w:t>
      </w:r>
      <w:r w:rsidR="00136570">
        <w:rPr>
          <w:rFonts w:cs="Arial"/>
          <w:szCs w:val="22"/>
        </w:rPr>
        <w:t>)</w:t>
      </w:r>
      <w:r w:rsidR="00E64A62">
        <w:rPr>
          <w:rFonts w:cs="Arial"/>
          <w:szCs w:val="22"/>
        </w:rPr>
        <w:t xml:space="preserve"> </w:t>
      </w:r>
      <w:r>
        <w:rPr>
          <w:rFonts w:cs="Arial"/>
          <w:szCs w:val="22"/>
        </w:rPr>
        <w:t>constitutes a significant safety issue</w:t>
      </w:r>
      <w:r w:rsidR="00E64A62">
        <w:rPr>
          <w:rFonts w:cs="Arial"/>
          <w:szCs w:val="22"/>
        </w:rPr>
        <w:t xml:space="preserve">. </w:t>
      </w:r>
    </w:p>
    <w:p w:rsidR="005B387B" w:rsidRDefault="005B387B" w:rsidP="005B387B">
      <w:pPr>
        <w:rPr>
          <w:rFonts w:cs="Arial"/>
          <w:szCs w:val="22"/>
        </w:rPr>
      </w:pPr>
    </w:p>
    <w:p w:rsidR="00AF34D6" w:rsidRDefault="005B387B" w:rsidP="005B387B">
      <w:pPr>
        <w:rPr>
          <w:rFonts w:cs="Arial"/>
          <w:szCs w:val="22"/>
        </w:rPr>
      </w:pPr>
      <w:r>
        <w:rPr>
          <w:rFonts w:cs="Arial"/>
          <w:szCs w:val="22"/>
        </w:rPr>
        <w:t xml:space="preserve">When such a report is received by </w:t>
      </w:r>
      <w:r w:rsidR="00040B27">
        <w:rPr>
          <w:rFonts w:cs="Arial"/>
          <w:szCs w:val="22"/>
        </w:rPr>
        <w:t>the sponsor,</w:t>
      </w:r>
      <w:r>
        <w:rPr>
          <w:rFonts w:cs="Arial"/>
          <w:szCs w:val="22"/>
        </w:rPr>
        <w:t xml:space="preserve"> it must be reported to Medsafe </w:t>
      </w:r>
      <w:r w:rsidR="000E44A4">
        <w:rPr>
          <w:rFonts w:cs="Arial"/>
          <w:szCs w:val="22"/>
        </w:rPr>
        <w:t xml:space="preserve">as soon as possible. This is generally </w:t>
      </w:r>
      <w:r w:rsidR="00AF34D6">
        <w:rPr>
          <w:rFonts w:cs="Arial"/>
          <w:szCs w:val="22"/>
        </w:rPr>
        <w:t xml:space="preserve">within 72 hours of receipt of the information by the sponsor. </w:t>
      </w:r>
    </w:p>
    <w:p w:rsidR="00AF34D6" w:rsidRDefault="00AF34D6" w:rsidP="00AF34D6">
      <w:pPr>
        <w:rPr>
          <w:rFonts w:cs="Arial"/>
          <w:szCs w:val="22"/>
        </w:rPr>
      </w:pPr>
    </w:p>
    <w:p w:rsidR="00941876" w:rsidRDefault="00136570" w:rsidP="005B387B">
      <w:pPr>
        <w:rPr>
          <w:rFonts w:cs="Arial"/>
          <w:szCs w:val="22"/>
        </w:rPr>
      </w:pPr>
      <w:r w:rsidRPr="00136570">
        <w:rPr>
          <w:rFonts w:cs="Arial"/>
          <w:szCs w:val="22"/>
        </w:rPr>
        <w:t>Suspected adverse reactions related to quality defect</w:t>
      </w:r>
      <w:r>
        <w:rPr>
          <w:rFonts w:cs="Arial"/>
          <w:szCs w:val="22"/>
        </w:rPr>
        <w:t>s</w:t>
      </w:r>
      <w:r w:rsidRPr="00136570">
        <w:rPr>
          <w:rFonts w:cs="Arial"/>
          <w:szCs w:val="22"/>
        </w:rPr>
        <w:t xml:space="preserve"> or falsified medicine </w:t>
      </w:r>
      <w:r w:rsidR="00AF34D6">
        <w:rPr>
          <w:rFonts w:cs="Arial"/>
          <w:szCs w:val="22"/>
        </w:rPr>
        <w:t>should not be reported to CARM</w:t>
      </w:r>
      <w:r w:rsidR="005B387B">
        <w:rPr>
          <w:rFonts w:cs="Arial"/>
          <w:szCs w:val="22"/>
        </w:rPr>
        <w:t xml:space="preserve">. </w:t>
      </w:r>
    </w:p>
    <w:p w:rsidR="00941876" w:rsidRDefault="00941876" w:rsidP="00400804">
      <w:pPr>
        <w:spacing w:line="280" w:lineRule="atLeast"/>
        <w:rPr>
          <w:rFonts w:cs="Arial"/>
          <w:szCs w:val="22"/>
        </w:rPr>
      </w:pPr>
    </w:p>
    <w:p w:rsidR="000C0128" w:rsidRDefault="000C0128" w:rsidP="00400804">
      <w:pPr>
        <w:spacing w:line="280" w:lineRule="atLeast"/>
        <w:rPr>
          <w:rFonts w:cs="Arial"/>
          <w:szCs w:val="22"/>
        </w:rPr>
      </w:pPr>
    </w:p>
    <w:p w:rsidR="00161BE1" w:rsidRPr="00CB09A1" w:rsidRDefault="00161BE1" w:rsidP="00161BE1">
      <w:pPr>
        <w:pStyle w:val="NoHeading2"/>
        <w:keepNext/>
        <w:spacing w:before="120"/>
        <w:ind w:right="340"/>
      </w:pPr>
      <w:bookmarkStart w:id="136" w:name="_Toc414346426"/>
      <w:bookmarkStart w:id="137" w:name="_Toc414522815"/>
      <w:r>
        <w:t>3.6</w:t>
      </w:r>
      <w:r>
        <w:tab/>
        <w:t>How</w:t>
      </w:r>
      <w:r w:rsidRPr="00CB09A1">
        <w:t xml:space="preserve"> to report</w:t>
      </w:r>
      <w:r>
        <w:t xml:space="preserve"> to CARM</w:t>
      </w:r>
      <w:bookmarkEnd w:id="136"/>
      <w:bookmarkEnd w:id="137"/>
    </w:p>
    <w:p w:rsidR="001E6607" w:rsidRDefault="001E6607" w:rsidP="001E6607">
      <w:pPr>
        <w:spacing w:line="280" w:lineRule="atLeast"/>
        <w:rPr>
          <w:rFonts w:cs="Arial"/>
          <w:szCs w:val="22"/>
        </w:rPr>
      </w:pPr>
    </w:p>
    <w:p w:rsidR="001E6607" w:rsidRDefault="00D2514C" w:rsidP="001E6607">
      <w:pPr>
        <w:spacing w:line="280" w:lineRule="atLeast"/>
        <w:rPr>
          <w:rFonts w:cs="Arial"/>
          <w:szCs w:val="22"/>
        </w:rPr>
      </w:pPr>
      <w:r>
        <w:rPr>
          <w:rFonts w:cs="Arial"/>
          <w:szCs w:val="22"/>
        </w:rPr>
        <w:t xml:space="preserve">Valid ICSRs should be reported using the </w:t>
      </w:r>
      <w:r w:rsidR="00A80C38">
        <w:rPr>
          <w:rFonts w:cs="Arial"/>
          <w:szCs w:val="22"/>
        </w:rPr>
        <w:t xml:space="preserve">Council for International Organizations of Medical Sciences (CIOMS) </w:t>
      </w:r>
      <w:r w:rsidR="00D20D58">
        <w:rPr>
          <w:rFonts w:cs="Arial"/>
          <w:szCs w:val="22"/>
        </w:rPr>
        <w:t xml:space="preserve">reporting </w:t>
      </w:r>
      <w:r>
        <w:rPr>
          <w:rFonts w:cs="Arial"/>
          <w:szCs w:val="22"/>
        </w:rPr>
        <w:t xml:space="preserve">form. </w:t>
      </w:r>
      <w:r w:rsidR="001E6607">
        <w:rPr>
          <w:rFonts w:cs="Arial"/>
          <w:szCs w:val="22"/>
        </w:rPr>
        <w:t xml:space="preserve">The CIOMS </w:t>
      </w:r>
      <w:r w:rsidR="00AC6789">
        <w:rPr>
          <w:rFonts w:cs="Arial"/>
          <w:szCs w:val="22"/>
        </w:rPr>
        <w:t xml:space="preserve">reporting </w:t>
      </w:r>
      <w:r w:rsidR="001E6607">
        <w:rPr>
          <w:rFonts w:cs="Arial"/>
          <w:szCs w:val="22"/>
        </w:rPr>
        <w:t xml:space="preserve">form can be downloaded from </w:t>
      </w:r>
      <w:hyperlink r:id="rId35" w:history="1">
        <w:r w:rsidR="00001EF2" w:rsidRPr="00640754">
          <w:rPr>
            <w:rStyle w:val="Hyperlink"/>
            <w:rFonts w:cs="Arial"/>
            <w:sz w:val="22"/>
            <w:szCs w:val="22"/>
          </w:rPr>
          <w:t>www.cioms.ch/index.php/cioms-form-i</w:t>
        </w:r>
      </w:hyperlink>
    </w:p>
    <w:p w:rsidR="001E6607" w:rsidRDefault="001E6607" w:rsidP="001E6607">
      <w:pPr>
        <w:spacing w:line="280" w:lineRule="atLeast"/>
        <w:rPr>
          <w:szCs w:val="22"/>
        </w:rPr>
      </w:pPr>
    </w:p>
    <w:p w:rsidR="00161BE1" w:rsidRDefault="00161BE1" w:rsidP="00161BE1">
      <w:pPr>
        <w:spacing w:line="280" w:lineRule="atLeast"/>
        <w:rPr>
          <w:rFonts w:cs="Arial"/>
          <w:szCs w:val="22"/>
        </w:rPr>
      </w:pPr>
      <w:r>
        <w:rPr>
          <w:rFonts w:cs="Arial"/>
          <w:szCs w:val="22"/>
        </w:rPr>
        <w:t>Reports should be sent to:</w:t>
      </w:r>
    </w:p>
    <w:p w:rsidR="00161BE1" w:rsidRDefault="00161BE1" w:rsidP="00161BE1">
      <w:pPr>
        <w:rPr>
          <w:rFonts w:cs="Arial"/>
          <w:szCs w:val="22"/>
        </w:rPr>
      </w:pPr>
    </w:p>
    <w:p w:rsidR="00A80C38" w:rsidRDefault="00A80C38" w:rsidP="00A80C38">
      <w:pPr>
        <w:tabs>
          <w:tab w:val="left" w:pos="1418"/>
        </w:tabs>
        <w:rPr>
          <w:rFonts w:cs="Arial"/>
          <w:szCs w:val="22"/>
        </w:rPr>
      </w:pPr>
      <w:r>
        <w:rPr>
          <w:rFonts w:cs="Arial"/>
          <w:szCs w:val="22"/>
        </w:rPr>
        <w:t>Post</w:t>
      </w:r>
      <w:r>
        <w:rPr>
          <w:rFonts w:cs="Arial"/>
          <w:szCs w:val="22"/>
        </w:rPr>
        <w:tab/>
      </w:r>
      <w:r>
        <w:rPr>
          <w:rFonts w:cs="Arial"/>
          <w:szCs w:val="22"/>
        </w:rPr>
        <w:tab/>
        <w:t>Freepost 112002</w:t>
      </w:r>
    </w:p>
    <w:p w:rsidR="00A80C38" w:rsidRDefault="00A80C38" w:rsidP="00A80C38">
      <w:pPr>
        <w:tabs>
          <w:tab w:val="left" w:pos="1418"/>
        </w:tabs>
        <w:rPr>
          <w:rFonts w:cs="Arial"/>
          <w:szCs w:val="22"/>
        </w:rPr>
      </w:pPr>
      <w:r>
        <w:rPr>
          <w:rFonts w:cs="Arial"/>
          <w:szCs w:val="22"/>
        </w:rPr>
        <w:tab/>
      </w:r>
      <w:r>
        <w:rPr>
          <w:rFonts w:cs="Arial"/>
          <w:szCs w:val="22"/>
        </w:rPr>
        <w:tab/>
        <w:t>The Medical Assessor</w:t>
      </w:r>
    </w:p>
    <w:p w:rsidR="00A80C38" w:rsidRDefault="00A80C38" w:rsidP="00A80C38">
      <w:pPr>
        <w:tabs>
          <w:tab w:val="left" w:pos="1418"/>
        </w:tabs>
        <w:rPr>
          <w:rFonts w:cs="Arial"/>
          <w:szCs w:val="22"/>
        </w:rPr>
      </w:pPr>
      <w:r>
        <w:rPr>
          <w:rFonts w:cs="Arial"/>
          <w:szCs w:val="22"/>
        </w:rPr>
        <w:tab/>
      </w:r>
      <w:r>
        <w:rPr>
          <w:rFonts w:cs="Arial"/>
          <w:szCs w:val="22"/>
        </w:rPr>
        <w:tab/>
        <w:t>CARM</w:t>
      </w:r>
    </w:p>
    <w:p w:rsidR="00A80C38" w:rsidRDefault="00A80C38" w:rsidP="00A80C38">
      <w:pPr>
        <w:tabs>
          <w:tab w:val="left" w:pos="1418"/>
        </w:tabs>
        <w:rPr>
          <w:rFonts w:cs="Arial"/>
          <w:szCs w:val="22"/>
        </w:rPr>
      </w:pPr>
      <w:r>
        <w:rPr>
          <w:rFonts w:cs="Arial"/>
          <w:szCs w:val="22"/>
        </w:rPr>
        <w:tab/>
      </w:r>
      <w:r>
        <w:rPr>
          <w:rFonts w:cs="Arial"/>
          <w:szCs w:val="22"/>
        </w:rPr>
        <w:tab/>
        <w:t>PO Box 913</w:t>
      </w:r>
    </w:p>
    <w:p w:rsidR="00A80C38" w:rsidRDefault="00A80C38" w:rsidP="00A80C38">
      <w:pPr>
        <w:tabs>
          <w:tab w:val="left" w:pos="1418"/>
        </w:tabs>
        <w:rPr>
          <w:rFonts w:cs="Arial"/>
          <w:szCs w:val="22"/>
        </w:rPr>
      </w:pPr>
      <w:r>
        <w:rPr>
          <w:rFonts w:cs="Arial"/>
          <w:szCs w:val="22"/>
        </w:rPr>
        <w:tab/>
      </w:r>
      <w:r>
        <w:rPr>
          <w:rFonts w:cs="Arial"/>
          <w:szCs w:val="22"/>
        </w:rPr>
        <w:tab/>
        <w:t>Dunedin</w:t>
      </w:r>
    </w:p>
    <w:p w:rsidR="00A80C38" w:rsidRDefault="00A80C38" w:rsidP="00A80C38">
      <w:pPr>
        <w:tabs>
          <w:tab w:val="left" w:pos="1418"/>
        </w:tabs>
        <w:rPr>
          <w:rFonts w:cs="Arial"/>
          <w:szCs w:val="22"/>
        </w:rPr>
      </w:pPr>
    </w:p>
    <w:p w:rsidR="00A80C38" w:rsidRDefault="00A80C38" w:rsidP="00A80C38">
      <w:pPr>
        <w:tabs>
          <w:tab w:val="left" w:pos="1418"/>
        </w:tabs>
        <w:spacing w:after="120"/>
        <w:rPr>
          <w:rFonts w:cs="Arial"/>
          <w:szCs w:val="22"/>
        </w:rPr>
      </w:pPr>
      <w:r>
        <w:rPr>
          <w:rFonts w:cs="Arial"/>
          <w:szCs w:val="22"/>
        </w:rPr>
        <w:t>Fax</w:t>
      </w:r>
      <w:r>
        <w:rPr>
          <w:rFonts w:cs="Arial"/>
          <w:szCs w:val="22"/>
        </w:rPr>
        <w:tab/>
      </w:r>
      <w:r>
        <w:rPr>
          <w:rFonts w:cs="Arial"/>
          <w:szCs w:val="22"/>
        </w:rPr>
        <w:tab/>
        <w:t>+ 64 (03) 479 7150</w:t>
      </w:r>
    </w:p>
    <w:p w:rsidR="00ED5AF8" w:rsidRDefault="00ED5AF8" w:rsidP="00A80C38">
      <w:pPr>
        <w:tabs>
          <w:tab w:val="left" w:pos="1418"/>
        </w:tabs>
        <w:spacing w:after="120"/>
        <w:rPr>
          <w:rFonts w:cs="Arial"/>
          <w:szCs w:val="22"/>
        </w:rPr>
      </w:pPr>
      <w:r>
        <w:rPr>
          <w:rFonts w:cs="Arial"/>
          <w:szCs w:val="22"/>
        </w:rPr>
        <w:t>Telephone</w:t>
      </w:r>
      <w:r>
        <w:rPr>
          <w:rFonts w:cs="Arial"/>
          <w:szCs w:val="22"/>
        </w:rPr>
        <w:tab/>
        <w:t>+ 64 (03) 479 7247</w:t>
      </w:r>
    </w:p>
    <w:p w:rsidR="00A80C38" w:rsidRDefault="00A80C38" w:rsidP="00A80C38">
      <w:pPr>
        <w:tabs>
          <w:tab w:val="left" w:pos="1418"/>
        </w:tabs>
        <w:spacing w:after="120"/>
        <w:rPr>
          <w:rFonts w:cs="Arial"/>
          <w:szCs w:val="22"/>
        </w:rPr>
      </w:pPr>
      <w:r>
        <w:rPr>
          <w:rFonts w:cs="Arial"/>
          <w:szCs w:val="22"/>
        </w:rPr>
        <w:t>Email</w:t>
      </w:r>
      <w:r>
        <w:rPr>
          <w:rFonts w:cs="Arial"/>
          <w:szCs w:val="22"/>
        </w:rPr>
        <w:tab/>
      </w:r>
      <w:r>
        <w:rPr>
          <w:rFonts w:cs="Arial"/>
          <w:szCs w:val="22"/>
        </w:rPr>
        <w:tab/>
      </w:r>
      <w:hyperlink r:id="rId36" w:history="1">
        <w:r w:rsidRPr="00C7572F">
          <w:rPr>
            <w:rStyle w:val="Hyperlink"/>
            <w:rFonts w:cs="Arial"/>
            <w:sz w:val="22"/>
            <w:szCs w:val="22"/>
          </w:rPr>
          <w:t>carmnz@otago.ac.nz</w:t>
        </w:r>
      </w:hyperlink>
    </w:p>
    <w:p w:rsidR="00B46DB4" w:rsidRDefault="00ED5AF8" w:rsidP="00B46DB4">
      <w:pPr>
        <w:spacing w:line="280" w:lineRule="atLeast"/>
        <w:rPr>
          <w:rFonts w:cs="Arial"/>
          <w:szCs w:val="22"/>
        </w:rPr>
      </w:pPr>
      <w:r>
        <w:rPr>
          <w:rFonts w:cs="Arial"/>
          <w:szCs w:val="22"/>
        </w:rPr>
        <w:t>Online</w:t>
      </w:r>
      <w:r>
        <w:rPr>
          <w:rFonts w:cs="Arial"/>
          <w:szCs w:val="22"/>
        </w:rPr>
        <w:tab/>
      </w:r>
      <w:r>
        <w:rPr>
          <w:rFonts w:cs="Arial"/>
          <w:szCs w:val="22"/>
        </w:rPr>
        <w:tab/>
      </w:r>
      <w:hyperlink r:id="rId37" w:history="1">
        <w:r w:rsidR="004779C7" w:rsidRPr="004779C7">
          <w:rPr>
            <w:rStyle w:val="Hyperlink"/>
            <w:rFonts w:cs="Arial"/>
            <w:sz w:val="22"/>
            <w:szCs w:val="22"/>
          </w:rPr>
          <w:t>www.otago.ac.nz/carm</w:t>
        </w:r>
      </w:hyperlink>
    </w:p>
    <w:p w:rsidR="00481A9A" w:rsidRDefault="00481A9A" w:rsidP="00B46DB4">
      <w:pPr>
        <w:spacing w:line="280" w:lineRule="atLeast"/>
        <w:rPr>
          <w:rFonts w:cs="Arial"/>
          <w:szCs w:val="22"/>
        </w:rPr>
      </w:pPr>
    </w:p>
    <w:p w:rsidR="00ED5AF8" w:rsidRDefault="00ED5AF8" w:rsidP="00B46DB4">
      <w:pPr>
        <w:spacing w:line="280" w:lineRule="atLeast"/>
        <w:rPr>
          <w:rFonts w:cs="Arial"/>
          <w:szCs w:val="22"/>
        </w:rPr>
      </w:pPr>
      <w:r>
        <w:rPr>
          <w:rFonts w:cs="Arial"/>
          <w:szCs w:val="22"/>
        </w:rPr>
        <w:t>CARM’s preference is for reporting online or by email.</w:t>
      </w:r>
    </w:p>
    <w:p w:rsidR="00687D8A" w:rsidRDefault="00687D8A" w:rsidP="00B46DB4">
      <w:pPr>
        <w:spacing w:line="280" w:lineRule="atLeast"/>
        <w:rPr>
          <w:rFonts w:cs="Arial"/>
          <w:szCs w:val="22"/>
        </w:rPr>
      </w:pPr>
    </w:p>
    <w:p w:rsidR="000B3DF8" w:rsidRPr="00400804" w:rsidRDefault="000B3DF8" w:rsidP="00B46DB4">
      <w:pPr>
        <w:spacing w:line="280" w:lineRule="atLeast"/>
        <w:rPr>
          <w:rFonts w:cs="Arial"/>
          <w:szCs w:val="22"/>
        </w:rPr>
      </w:pPr>
    </w:p>
    <w:p w:rsidR="000C0128" w:rsidRPr="00161BE1" w:rsidRDefault="000C0128" w:rsidP="00161BE1">
      <w:pPr>
        <w:pStyle w:val="NoHeading2"/>
        <w:keepNext/>
        <w:spacing w:before="120"/>
        <w:ind w:left="1140" w:right="340" w:hanging="1140"/>
      </w:pPr>
      <w:bookmarkStart w:id="138" w:name="_Toc414346427"/>
      <w:bookmarkStart w:id="139" w:name="_Toc414522816"/>
      <w:r w:rsidRPr="00161BE1">
        <w:t>3.</w:t>
      </w:r>
      <w:r w:rsidR="00161BE1" w:rsidRPr="00161BE1">
        <w:t>7</w:t>
      </w:r>
      <w:r w:rsidRPr="00161BE1">
        <w:tab/>
        <w:t>How to report to Medsafe</w:t>
      </w:r>
      <w:bookmarkEnd w:id="138"/>
      <w:bookmarkEnd w:id="139"/>
    </w:p>
    <w:p w:rsidR="000C6C51" w:rsidRDefault="000C6C51" w:rsidP="00400804">
      <w:pPr>
        <w:spacing w:line="280" w:lineRule="atLeast"/>
        <w:rPr>
          <w:rFonts w:cs="Arial"/>
          <w:szCs w:val="22"/>
        </w:rPr>
      </w:pPr>
    </w:p>
    <w:p w:rsidR="000C0128" w:rsidRDefault="00E64A62" w:rsidP="00400804">
      <w:pPr>
        <w:spacing w:line="280" w:lineRule="atLeast"/>
        <w:rPr>
          <w:rFonts w:cs="Arial"/>
          <w:szCs w:val="22"/>
        </w:rPr>
      </w:pPr>
      <w:r>
        <w:rPr>
          <w:rFonts w:cs="Arial"/>
          <w:szCs w:val="22"/>
        </w:rPr>
        <w:t>Reports of adverse reactions associated with quality defects or falsified medicines should be sent to:</w:t>
      </w:r>
    </w:p>
    <w:p w:rsidR="00E64A62" w:rsidRDefault="00E64A62" w:rsidP="00400804">
      <w:pPr>
        <w:spacing w:line="280" w:lineRule="atLeast"/>
        <w:rPr>
          <w:rFonts w:cs="Arial"/>
          <w:szCs w:val="22"/>
        </w:rPr>
      </w:pPr>
    </w:p>
    <w:p w:rsidR="00E64A62" w:rsidRDefault="00E64A62" w:rsidP="000C6C51">
      <w:pPr>
        <w:tabs>
          <w:tab w:val="left" w:pos="1418"/>
        </w:tabs>
        <w:rPr>
          <w:rFonts w:cs="Arial"/>
          <w:szCs w:val="22"/>
        </w:rPr>
      </w:pPr>
      <w:r w:rsidRPr="00E64A62">
        <w:rPr>
          <w:rFonts w:cs="Arial"/>
          <w:szCs w:val="22"/>
        </w:rPr>
        <w:t>P</w:t>
      </w:r>
      <w:r w:rsidR="00A80C38">
        <w:rPr>
          <w:rFonts w:cs="Arial"/>
          <w:szCs w:val="22"/>
        </w:rPr>
        <w:t>ost</w:t>
      </w:r>
      <w:r w:rsidRPr="00E64A62">
        <w:rPr>
          <w:rFonts w:cs="Arial"/>
          <w:szCs w:val="22"/>
        </w:rPr>
        <w:tab/>
      </w:r>
      <w:r w:rsidR="002B076A">
        <w:rPr>
          <w:rFonts w:cs="Arial"/>
          <w:szCs w:val="22"/>
        </w:rPr>
        <w:t>Product Safety Team</w:t>
      </w:r>
    </w:p>
    <w:p w:rsidR="00E64A62" w:rsidRDefault="00E64A62" w:rsidP="000C6C51">
      <w:pPr>
        <w:tabs>
          <w:tab w:val="left" w:pos="1418"/>
        </w:tabs>
        <w:rPr>
          <w:rFonts w:cs="Arial"/>
          <w:szCs w:val="22"/>
        </w:rPr>
      </w:pPr>
      <w:r>
        <w:rPr>
          <w:rFonts w:cs="Arial"/>
          <w:szCs w:val="22"/>
        </w:rPr>
        <w:tab/>
      </w:r>
      <w:r w:rsidRPr="00E64A62">
        <w:rPr>
          <w:rFonts w:cs="Arial"/>
          <w:szCs w:val="22"/>
        </w:rPr>
        <w:t>Medsafe</w:t>
      </w:r>
    </w:p>
    <w:p w:rsidR="00E64A62" w:rsidRDefault="00E64A62" w:rsidP="000C6C51">
      <w:pPr>
        <w:tabs>
          <w:tab w:val="left" w:pos="1418"/>
        </w:tabs>
        <w:rPr>
          <w:rFonts w:cs="Arial"/>
          <w:szCs w:val="22"/>
        </w:rPr>
      </w:pPr>
      <w:r>
        <w:rPr>
          <w:rFonts w:cs="Arial"/>
          <w:szCs w:val="22"/>
        </w:rPr>
        <w:tab/>
      </w:r>
      <w:r w:rsidRPr="00E64A62">
        <w:rPr>
          <w:rFonts w:cs="Arial"/>
          <w:szCs w:val="22"/>
        </w:rPr>
        <w:t>PO Box 5013</w:t>
      </w:r>
    </w:p>
    <w:p w:rsidR="00941876" w:rsidRPr="00E64A62" w:rsidRDefault="00E64A62" w:rsidP="000C6C51">
      <w:pPr>
        <w:tabs>
          <w:tab w:val="left" w:pos="1418"/>
        </w:tabs>
        <w:rPr>
          <w:rFonts w:cs="Arial"/>
          <w:szCs w:val="22"/>
        </w:rPr>
      </w:pPr>
      <w:r>
        <w:rPr>
          <w:rFonts w:cs="Arial"/>
          <w:szCs w:val="22"/>
        </w:rPr>
        <w:tab/>
        <w:t>Wellington 6415</w:t>
      </w:r>
    </w:p>
    <w:p w:rsidR="00E64A62" w:rsidRDefault="00E64A62" w:rsidP="00400804">
      <w:pPr>
        <w:spacing w:line="280" w:lineRule="atLeast"/>
      </w:pPr>
    </w:p>
    <w:p w:rsidR="00E64A62" w:rsidRDefault="00E64A62" w:rsidP="000C6C51">
      <w:pPr>
        <w:tabs>
          <w:tab w:val="left" w:pos="1418"/>
        </w:tabs>
        <w:spacing w:after="120"/>
        <w:rPr>
          <w:rFonts w:cs="Arial"/>
          <w:szCs w:val="22"/>
        </w:rPr>
      </w:pPr>
      <w:r w:rsidRPr="00E64A62">
        <w:rPr>
          <w:rFonts w:cs="Arial"/>
          <w:szCs w:val="22"/>
        </w:rPr>
        <w:t>F</w:t>
      </w:r>
      <w:r w:rsidR="00A80C38">
        <w:rPr>
          <w:rFonts w:cs="Arial"/>
          <w:szCs w:val="22"/>
        </w:rPr>
        <w:t>ax</w:t>
      </w:r>
      <w:r w:rsidRPr="00E64A62">
        <w:rPr>
          <w:rFonts w:cs="Arial"/>
          <w:szCs w:val="22"/>
        </w:rPr>
        <w:tab/>
        <w:t>+</w:t>
      </w:r>
      <w:r w:rsidR="00AC6789">
        <w:rPr>
          <w:rFonts w:cs="Arial"/>
          <w:szCs w:val="22"/>
        </w:rPr>
        <w:t xml:space="preserve"> 64 (04) 819 6807</w:t>
      </w:r>
    </w:p>
    <w:p w:rsidR="00AC6789" w:rsidRDefault="00AC6789" w:rsidP="000C6C51">
      <w:pPr>
        <w:tabs>
          <w:tab w:val="left" w:pos="1418"/>
        </w:tabs>
        <w:spacing w:after="120"/>
        <w:rPr>
          <w:rFonts w:cs="Arial"/>
          <w:szCs w:val="22"/>
        </w:rPr>
      </w:pPr>
      <w:r>
        <w:rPr>
          <w:rFonts w:cs="Arial"/>
          <w:szCs w:val="22"/>
        </w:rPr>
        <w:t>Telephone</w:t>
      </w:r>
      <w:r>
        <w:rPr>
          <w:rFonts w:cs="Arial"/>
          <w:szCs w:val="22"/>
        </w:rPr>
        <w:tab/>
        <w:t>+ 64 (04) 819 6800</w:t>
      </w:r>
    </w:p>
    <w:p w:rsidR="000C6C51" w:rsidRDefault="000C6C51" w:rsidP="000C6C51">
      <w:pPr>
        <w:tabs>
          <w:tab w:val="left" w:pos="1418"/>
        </w:tabs>
        <w:rPr>
          <w:rFonts w:cs="Arial"/>
          <w:szCs w:val="22"/>
        </w:rPr>
      </w:pPr>
      <w:r>
        <w:rPr>
          <w:rFonts w:cs="Arial"/>
          <w:szCs w:val="22"/>
        </w:rPr>
        <w:t>Email</w:t>
      </w:r>
      <w:r>
        <w:rPr>
          <w:rFonts w:cs="Arial"/>
          <w:szCs w:val="22"/>
        </w:rPr>
        <w:tab/>
      </w:r>
      <w:hyperlink r:id="rId38" w:history="1">
        <w:r w:rsidR="00C1539E" w:rsidRPr="00540574">
          <w:rPr>
            <w:rStyle w:val="Hyperlink"/>
            <w:rFonts w:cs="Arial"/>
            <w:sz w:val="22"/>
            <w:szCs w:val="22"/>
          </w:rPr>
          <w:t>recalls@moh.govt.nz</w:t>
        </w:r>
      </w:hyperlink>
    </w:p>
    <w:p w:rsidR="00E64A62" w:rsidRDefault="00E64A62" w:rsidP="00400804">
      <w:pPr>
        <w:spacing w:line="280" w:lineRule="atLeast"/>
      </w:pPr>
    </w:p>
    <w:p w:rsidR="00E64A62" w:rsidRDefault="004A07DE" w:rsidP="00400804">
      <w:pPr>
        <w:spacing w:line="280" w:lineRule="atLeast"/>
        <w:rPr>
          <w:rFonts w:cs="Arial"/>
          <w:szCs w:val="22"/>
        </w:rPr>
      </w:pPr>
      <w:proofErr w:type="spellStart"/>
      <w:r>
        <w:rPr>
          <w:rFonts w:cs="Arial"/>
          <w:szCs w:val="22"/>
        </w:rPr>
        <w:t>Medsafe’s</w:t>
      </w:r>
      <w:proofErr w:type="spellEnd"/>
      <w:r>
        <w:rPr>
          <w:rFonts w:cs="Arial"/>
          <w:szCs w:val="22"/>
        </w:rPr>
        <w:t xml:space="preserve"> preference is for reporting by email, with as much information provided as possible.</w:t>
      </w:r>
    </w:p>
    <w:p w:rsidR="004A07DE" w:rsidRDefault="004A07DE" w:rsidP="00400804">
      <w:pPr>
        <w:spacing w:line="280" w:lineRule="atLeast"/>
        <w:rPr>
          <w:rFonts w:cs="Arial"/>
          <w:szCs w:val="22"/>
        </w:rPr>
      </w:pPr>
    </w:p>
    <w:p w:rsidR="0082521E" w:rsidRPr="00400804" w:rsidRDefault="0082521E" w:rsidP="00400804">
      <w:pPr>
        <w:spacing w:line="280" w:lineRule="atLeast"/>
        <w:rPr>
          <w:rFonts w:cs="Arial"/>
          <w:szCs w:val="22"/>
        </w:rPr>
      </w:pPr>
    </w:p>
    <w:p w:rsidR="00941876" w:rsidRPr="009E795D" w:rsidRDefault="00AF34D6" w:rsidP="00941876">
      <w:pPr>
        <w:pStyle w:val="NoHeading2"/>
        <w:keepNext/>
        <w:spacing w:before="120"/>
        <w:ind w:left="1140" w:right="340" w:hanging="1140"/>
      </w:pPr>
      <w:bookmarkStart w:id="140" w:name="_Toc414346428"/>
      <w:bookmarkStart w:id="141" w:name="_Toc414522817"/>
      <w:r>
        <w:t>3.8</w:t>
      </w:r>
      <w:r w:rsidR="00941876" w:rsidRPr="009E795D">
        <w:tab/>
      </w:r>
      <w:r w:rsidR="00941876">
        <w:t>Suspected M</w:t>
      </w:r>
      <w:r w:rsidR="00040B27">
        <w:t>edicine Adverse Reaction Search</w:t>
      </w:r>
      <w:bookmarkEnd w:id="140"/>
      <w:bookmarkEnd w:id="141"/>
    </w:p>
    <w:p w:rsidR="00941876" w:rsidRDefault="00941876" w:rsidP="00941876">
      <w:pPr>
        <w:rPr>
          <w:rFonts w:cs="Arial"/>
          <w:szCs w:val="22"/>
        </w:rPr>
      </w:pPr>
    </w:p>
    <w:p w:rsidR="00040B27" w:rsidRDefault="00941876" w:rsidP="00A80C38">
      <w:pPr>
        <w:spacing w:line="280" w:lineRule="atLeast"/>
        <w:rPr>
          <w:rFonts w:cs="Arial"/>
          <w:szCs w:val="22"/>
        </w:rPr>
      </w:pPr>
      <w:r>
        <w:rPr>
          <w:rFonts w:cs="Arial"/>
          <w:szCs w:val="22"/>
        </w:rPr>
        <w:t xml:space="preserve">Sponsors can access </w:t>
      </w:r>
      <w:r w:rsidR="00E03972">
        <w:rPr>
          <w:rFonts w:cs="Arial"/>
          <w:szCs w:val="22"/>
        </w:rPr>
        <w:t xml:space="preserve">information on </w:t>
      </w:r>
      <w:r>
        <w:rPr>
          <w:rFonts w:cs="Arial"/>
          <w:szCs w:val="22"/>
        </w:rPr>
        <w:t xml:space="preserve">suspected adverse reaction reports </w:t>
      </w:r>
      <w:r w:rsidR="00E03972">
        <w:rPr>
          <w:rFonts w:cs="Arial"/>
          <w:szCs w:val="22"/>
        </w:rPr>
        <w:t xml:space="preserve">in New Zealand </w:t>
      </w:r>
      <w:r>
        <w:rPr>
          <w:rFonts w:cs="Arial"/>
          <w:szCs w:val="22"/>
        </w:rPr>
        <w:t xml:space="preserve">through the </w:t>
      </w:r>
      <w:r w:rsidR="00040B27">
        <w:rPr>
          <w:rFonts w:cs="Arial"/>
          <w:szCs w:val="22"/>
        </w:rPr>
        <w:t>Suspected Medicine Adverse Reaction Search (</w:t>
      </w:r>
      <w:hyperlink r:id="rId39" w:history="1">
        <w:r w:rsidRPr="00674E54">
          <w:t>SMARS</w:t>
        </w:r>
      </w:hyperlink>
      <w:r w:rsidR="00040B27">
        <w:t>)</w:t>
      </w:r>
      <w:r>
        <w:rPr>
          <w:rFonts w:cs="Arial"/>
          <w:szCs w:val="22"/>
        </w:rPr>
        <w:t xml:space="preserve"> database on </w:t>
      </w:r>
      <w:proofErr w:type="spellStart"/>
      <w:r>
        <w:rPr>
          <w:rFonts w:cs="Arial"/>
          <w:szCs w:val="22"/>
        </w:rPr>
        <w:t>Medsafe’s</w:t>
      </w:r>
      <w:proofErr w:type="spellEnd"/>
      <w:r>
        <w:rPr>
          <w:rFonts w:cs="Arial"/>
          <w:szCs w:val="22"/>
        </w:rPr>
        <w:t xml:space="preserve"> website. </w:t>
      </w:r>
      <w:r w:rsidRPr="00C7583E">
        <w:rPr>
          <w:rFonts w:cs="Arial"/>
          <w:szCs w:val="22"/>
        </w:rPr>
        <w:t>SMARS contains anonymised information from reports of suspected</w:t>
      </w:r>
      <w:r w:rsidRPr="00630884">
        <w:rPr>
          <w:rFonts w:cs="Arial"/>
          <w:szCs w:val="22"/>
        </w:rPr>
        <w:t xml:space="preserve"> adverse reactions to medicines</w:t>
      </w:r>
      <w:r w:rsidR="004A07DE">
        <w:rPr>
          <w:rFonts w:cs="Arial"/>
          <w:szCs w:val="22"/>
        </w:rPr>
        <w:t xml:space="preserve"> that were reported to CARM</w:t>
      </w:r>
      <w:r>
        <w:rPr>
          <w:rFonts w:cs="Arial"/>
          <w:szCs w:val="22"/>
        </w:rPr>
        <w:t>.</w:t>
      </w:r>
      <w:r w:rsidRPr="00630884">
        <w:rPr>
          <w:rFonts w:cs="Arial"/>
          <w:szCs w:val="22"/>
        </w:rPr>
        <w:t xml:space="preserve"> </w:t>
      </w:r>
    </w:p>
    <w:p w:rsidR="00040B27" w:rsidRDefault="00040B27" w:rsidP="00A80C38">
      <w:pPr>
        <w:spacing w:line="280" w:lineRule="atLeast"/>
        <w:rPr>
          <w:rFonts w:cs="Arial"/>
          <w:szCs w:val="22"/>
        </w:rPr>
      </w:pPr>
    </w:p>
    <w:p w:rsidR="00941876" w:rsidRDefault="004A07DE" w:rsidP="00A80C38">
      <w:pPr>
        <w:spacing w:line="280" w:lineRule="atLeast"/>
      </w:pPr>
      <w:r>
        <w:rPr>
          <w:rFonts w:cs="Arial"/>
          <w:szCs w:val="22"/>
        </w:rPr>
        <w:t>SMARS includes</w:t>
      </w:r>
      <w:r w:rsidR="00A80C38">
        <w:rPr>
          <w:rFonts w:cs="Arial"/>
          <w:szCs w:val="22"/>
        </w:rPr>
        <w:t xml:space="preserve"> r</w:t>
      </w:r>
      <w:r w:rsidR="00941876" w:rsidRPr="008E20AE">
        <w:t xml:space="preserve">eports considered by CARM to be </w:t>
      </w:r>
      <w:hyperlink r:id="rId40" w:tgtFrame="_blank" w:history="1">
        <w:r w:rsidR="00941876" w:rsidRPr="008E20AE">
          <w:t>causally related</w:t>
        </w:r>
      </w:hyperlink>
      <w:r w:rsidR="00941876" w:rsidRPr="008E20AE">
        <w:t xml:space="preserve"> to the medicine. </w:t>
      </w:r>
      <w:r w:rsidR="00ED5AF8">
        <w:t xml:space="preserve">SMARS includes reports received from sponsors. </w:t>
      </w:r>
      <w:r w:rsidR="00941876" w:rsidRPr="008E20AE">
        <w:t>Some non-causally related suspected adverse reactions may be included in SMARS if the report also contained a causally related suspected adverse reaction.</w:t>
      </w:r>
    </w:p>
    <w:p w:rsidR="00A80C38" w:rsidRDefault="00A80C38" w:rsidP="00A80C38">
      <w:pPr>
        <w:spacing w:line="280" w:lineRule="atLeast"/>
      </w:pPr>
    </w:p>
    <w:p w:rsidR="00A80C38" w:rsidRPr="008E20AE" w:rsidRDefault="00A80C38" w:rsidP="00A80C38">
      <w:pPr>
        <w:spacing w:line="280" w:lineRule="atLeast"/>
      </w:pPr>
      <w:r>
        <w:t>SMARS does not include:</w:t>
      </w:r>
    </w:p>
    <w:p w:rsidR="00941876" w:rsidRPr="008E20AE" w:rsidRDefault="00A80C38" w:rsidP="00941876">
      <w:pPr>
        <w:pStyle w:val="ListBullet"/>
        <w:spacing w:before="120" w:after="120"/>
        <w:ind w:left="714" w:hanging="357"/>
      </w:pPr>
      <w:r>
        <w:t>a</w:t>
      </w:r>
      <w:r w:rsidR="00941876" w:rsidRPr="008E20AE">
        <w:t>ny report where it is considered that the patient may be identifiable (</w:t>
      </w:r>
      <w:proofErr w:type="spellStart"/>
      <w:r w:rsidR="00941876" w:rsidRPr="008E20AE">
        <w:t>eg</w:t>
      </w:r>
      <w:proofErr w:type="spellEnd"/>
      <w:r w:rsidR="00941876" w:rsidRPr="008E20AE">
        <w:t>, due to the rareness o</w:t>
      </w:r>
      <w:r>
        <w:t xml:space="preserve">f the reaction) </w:t>
      </w:r>
    </w:p>
    <w:p w:rsidR="00941876" w:rsidRPr="00FD6B08" w:rsidRDefault="00A80C38" w:rsidP="00941876">
      <w:pPr>
        <w:pStyle w:val="ListBullet"/>
        <w:spacing w:before="120" w:after="120"/>
        <w:ind w:left="714" w:hanging="357"/>
      </w:pPr>
      <w:proofErr w:type="gramStart"/>
      <w:r>
        <w:t>r</w:t>
      </w:r>
      <w:r w:rsidR="00941876" w:rsidRPr="008E20AE">
        <w:t>eports</w:t>
      </w:r>
      <w:proofErr w:type="gramEnd"/>
      <w:r w:rsidR="00941876" w:rsidRPr="008E20AE">
        <w:t xml:space="preserve"> from the last three months.</w:t>
      </w:r>
    </w:p>
    <w:p w:rsidR="00941876" w:rsidRDefault="00941876" w:rsidP="00941876">
      <w:pPr>
        <w:pStyle w:val="NormalWeb"/>
        <w:spacing w:after="0"/>
        <w:rPr>
          <w:rFonts w:ascii="Arial" w:hAnsi="Arial" w:cs="Arial"/>
          <w:color w:val="auto"/>
          <w:sz w:val="22"/>
          <w:szCs w:val="22"/>
          <w:lang w:eastAsia="en-US"/>
        </w:rPr>
      </w:pPr>
    </w:p>
    <w:p w:rsidR="00941876" w:rsidRPr="00C7583E" w:rsidRDefault="00941876" w:rsidP="00941876">
      <w:pPr>
        <w:pStyle w:val="NormalWeb"/>
        <w:rPr>
          <w:rFonts w:ascii="Arial" w:hAnsi="Arial" w:cs="Arial"/>
          <w:color w:val="auto"/>
          <w:sz w:val="22"/>
          <w:szCs w:val="22"/>
          <w:lang w:eastAsia="en-US"/>
        </w:rPr>
      </w:pPr>
      <w:r w:rsidRPr="00C7583E">
        <w:rPr>
          <w:rFonts w:ascii="Arial" w:hAnsi="Arial" w:cs="Arial"/>
          <w:color w:val="auto"/>
          <w:sz w:val="22"/>
          <w:szCs w:val="22"/>
          <w:lang w:eastAsia="en-US"/>
        </w:rPr>
        <w:t xml:space="preserve">The </w:t>
      </w:r>
      <w:r>
        <w:rPr>
          <w:rFonts w:ascii="Arial" w:hAnsi="Arial" w:cs="Arial"/>
          <w:color w:val="auto"/>
          <w:sz w:val="22"/>
          <w:szCs w:val="22"/>
          <w:lang w:eastAsia="en-US"/>
        </w:rPr>
        <w:t xml:space="preserve">SMARS </w:t>
      </w:r>
      <w:r w:rsidRPr="00C7583E">
        <w:rPr>
          <w:rFonts w:ascii="Arial" w:hAnsi="Arial" w:cs="Arial"/>
          <w:color w:val="auto"/>
          <w:sz w:val="22"/>
          <w:szCs w:val="22"/>
          <w:lang w:eastAsia="en-US"/>
        </w:rPr>
        <w:t>database is updated once a month.</w:t>
      </w:r>
    </w:p>
    <w:p w:rsidR="00941876" w:rsidRDefault="00941876" w:rsidP="00941876">
      <w:pPr>
        <w:spacing w:line="280" w:lineRule="atLeast"/>
        <w:rPr>
          <w:rFonts w:cs="Arial"/>
          <w:szCs w:val="22"/>
        </w:rPr>
      </w:pPr>
      <w:r>
        <w:rPr>
          <w:rFonts w:cs="Arial"/>
          <w:szCs w:val="22"/>
        </w:rPr>
        <w:t>Where case reports on SMARS are identified by sponsors, these should not be re-reported to CARM as individual adverse reactions. However, if upon further analysis of these reports the sponsor believes that the benefit-risk of harm balance of the medicine may possibly be affected, this possibility should be communicated to Medsafe as a potential significant safety issue</w:t>
      </w:r>
      <w:r w:rsidR="00040B27">
        <w:rPr>
          <w:rFonts w:cs="Arial"/>
          <w:szCs w:val="22"/>
        </w:rPr>
        <w:t xml:space="preserve"> (see Section 5)</w:t>
      </w:r>
      <w:r>
        <w:rPr>
          <w:rFonts w:cs="Arial"/>
          <w:szCs w:val="22"/>
        </w:rPr>
        <w:t>.</w:t>
      </w:r>
    </w:p>
    <w:p w:rsidR="00941876" w:rsidRDefault="00941876" w:rsidP="00941876">
      <w:pPr>
        <w:spacing w:line="280" w:lineRule="atLeast"/>
        <w:rPr>
          <w:rFonts w:cs="Arial"/>
          <w:szCs w:val="22"/>
        </w:rPr>
      </w:pPr>
    </w:p>
    <w:p w:rsidR="00941876" w:rsidRDefault="00AC6789" w:rsidP="00941876">
      <w:pPr>
        <w:spacing w:line="280" w:lineRule="atLeast"/>
        <w:rPr>
          <w:rFonts w:cs="Arial"/>
          <w:szCs w:val="22"/>
        </w:rPr>
      </w:pPr>
      <w:r>
        <w:rPr>
          <w:rFonts w:cs="Arial"/>
          <w:szCs w:val="22"/>
        </w:rPr>
        <w:t>SMARS can be accessed at</w:t>
      </w:r>
      <w:r w:rsidR="00941876">
        <w:rPr>
          <w:rFonts w:cs="Arial"/>
          <w:szCs w:val="22"/>
        </w:rPr>
        <w:t xml:space="preserve">: </w:t>
      </w:r>
      <w:hyperlink r:id="rId41" w:history="1">
        <w:r w:rsidR="004946D0" w:rsidRPr="00640754">
          <w:rPr>
            <w:rStyle w:val="Hyperlink"/>
            <w:rFonts w:cs="Arial"/>
            <w:sz w:val="22"/>
            <w:szCs w:val="22"/>
          </w:rPr>
          <w:t>www.medsafe.govt.nz/Projects/B1/ADRDisclaimer.asp</w:t>
        </w:r>
      </w:hyperlink>
    </w:p>
    <w:p w:rsidR="00941876" w:rsidRDefault="00941876" w:rsidP="00941876">
      <w:pPr>
        <w:spacing w:line="280" w:lineRule="atLeast"/>
        <w:rPr>
          <w:rFonts w:cs="Arial"/>
          <w:szCs w:val="22"/>
        </w:rPr>
      </w:pPr>
    </w:p>
    <w:p w:rsidR="00941876" w:rsidRDefault="00941876" w:rsidP="00941876">
      <w:pPr>
        <w:spacing w:line="280" w:lineRule="atLeast"/>
        <w:rPr>
          <w:rFonts w:cs="Arial"/>
          <w:szCs w:val="22"/>
        </w:rPr>
      </w:pPr>
      <w:r>
        <w:rPr>
          <w:rFonts w:cs="Arial"/>
          <w:szCs w:val="22"/>
        </w:rPr>
        <w:t>If more information on using SMARS is required, please contact:</w:t>
      </w:r>
    </w:p>
    <w:p w:rsidR="00941876" w:rsidRDefault="00941876" w:rsidP="00941876">
      <w:pPr>
        <w:spacing w:line="260" w:lineRule="exact"/>
        <w:ind w:right="340"/>
        <w:rPr>
          <w:rStyle w:val="NormalBoldTeal"/>
          <w:b w:val="0"/>
          <w:color w:val="auto"/>
          <w:szCs w:val="22"/>
        </w:rPr>
      </w:pPr>
    </w:p>
    <w:p w:rsidR="00136570" w:rsidRDefault="0082521E" w:rsidP="00941876">
      <w:pPr>
        <w:spacing w:line="260" w:lineRule="exact"/>
        <w:ind w:right="340"/>
        <w:rPr>
          <w:rStyle w:val="NormalBoldTeal"/>
          <w:b w:val="0"/>
          <w:color w:val="auto"/>
          <w:szCs w:val="22"/>
        </w:rPr>
      </w:pPr>
      <w:r>
        <w:rPr>
          <w:rStyle w:val="NormalBoldTeal"/>
          <w:b w:val="0"/>
          <w:color w:val="auto"/>
          <w:szCs w:val="22"/>
        </w:rPr>
        <w:t>Post</w:t>
      </w:r>
      <w:r w:rsidR="00941876">
        <w:rPr>
          <w:rStyle w:val="NormalBoldTeal"/>
          <w:b w:val="0"/>
          <w:color w:val="auto"/>
          <w:szCs w:val="22"/>
        </w:rPr>
        <w:tab/>
      </w:r>
      <w:r w:rsidR="00941876">
        <w:rPr>
          <w:rStyle w:val="NormalBoldTeal"/>
          <w:b w:val="0"/>
          <w:color w:val="auto"/>
          <w:szCs w:val="22"/>
        </w:rPr>
        <w:tab/>
      </w:r>
      <w:r w:rsidR="00136570">
        <w:rPr>
          <w:rStyle w:val="NormalBoldTeal"/>
          <w:b w:val="0"/>
          <w:color w:val="auto"/>
          <w:szCs w:val="22"/>
        </w:rPr>
        <w:t>Clinical Risk Management Branch</w:t>
      </w:r>
    </w:p>
    <w:p w:rsidR="00941876" w:rsidRDefault="00941876" w:rsidP="00136570">
      <w:pPr>
        <w:spacing w:line="260" w:lineRule="exact"/>
        <w:ind w:left="720" w:right="340" w:firstLine="720"/>
        <w:rPr>
          <w:rStyle w:val="NormalBoldTeal"/>
          <w:b w:val="0"/>
          <w:color w:val="auto"/>
          <w:szCs w:val="22"/>
        </w:rPr>
      </w:pPr>
      <w:r>
        <w:rPr>
          <w:rStyle w:val="NormalBoldTeal"/>
          <w:b w:val="0"/>
          <w:color w:val="auto"/>
          <w:szCs w:val="22"/>
        </w:rPr>
        <w:t>Medsafe</w:t>
      </w:r>
    </w:p>
    <w:p w:rsidR="00941876" w:rsidRDefault="00941876" w:rsidP="00941876">
      <w:pPr>
        <w:spacing w:line="260" w:lineRule="exact"/>
        <w:ind w:right="340"/>
        <w:rPr>
          <w:rStyle w:val="NormalBoldTeal"/>
          <w:b w:val="0"/>
          <w:color w:val="auto"/>
          <w:szCs w:val="22"/>
        </w:rPr>
      </w:pPr>
      <w:r>
        <w:rPr>
          <w:rStyle w:val="NormalBoldTeal"/>
          <w:b w:val="0"/>
          <w:color w:val="auto"/>
          <w:szCs w:val="22"/>
        </w:rPr>
        <w:tab/>
      </w:r>
      <w:r>
        <w:rPr>
          <w:rStyle w:val="NormalBoldTeal"/>
          <w:b w:val="0"/>
          <w:color w:val="auto"/>
          <w:szCs w:val="22"/>
        </w:rPr>
        <w:tab/>
        <w:t>PO Box 5013</w:t>
      </w:r>
    </w:p>
    <w:p w:rsidR="00941876" w:rsidRDefault="00941876" w:rsidP="00136570">
      <w:pPr>
        <w:spacing w:line="260" w:lineRule="exact"/>
        <w:ind w:right="340"/>
        <w:rPr>
          <w:rStyle w:val="NormalBoldTeal"/>
          <w:b w:val="0"/>
          <w:color w:val="auto"/>
          <w:szCs w:val="22"/>
        </w:rPr>
      </w:pPr>
      <w:r>
        <w:rPr>
          <w:rStyle w:val="NormalBoldTeal"/>
          <w:b w:val="0"/>
          <w:color w:val="auto"/>
          <w:szCs w:val="22"/>
        </w:rPr>
        <w:tab/>
      </w:r>
      <w:r>
        <w:rPr>
          <w:rStyle w:val="NormalBoldTeal"/>
          <w:b w:val="0"/>
          <w:color w:val="auto"/>
          <w:szCs w:val="22"/>
        </w:rPr>
        <w:tab/>
        <w:t>Wellington</w:t>
      </w:r>
      <w:r w:rsidR="00136570">
        <w:rPr>
          <w:rStyle w:val="NormalBoldTeal"/>
          <w:b w:val="0"/>
          <w:color w:val="auto"/>
          <w:szCs w:val="22"/>
        </w:rPr>
        <w:t xml:space="preserve"> 6415</w:t>
      </w:r>
    </w:p>
    <w:p w:rsidR="00136570" w:rsidRDefault="00136570" w:rsidP="00136570">
      <w:pPr>
        <w:spacing w:line="260" w:lineRule="exact"/>
        <w:ind w:right="340"/>
        <w:rPr>
          <w:bCs/>
          <w:szCs w:val="22"/>
        </w:rPr>
      </w:pPr>
    </w:p>
    <w:p w:rsidR="0082521E" w:rsidRPr="0082521E" w:rsidRDefault="0082521E" w:rsidP="0082521E">
      <w:pPr>
        <w:tabs>
          <w:tab w:val="left" w:pos="1418"/>
        </w:tabs>
        <w:spacing w:after="120"/>
        <w:rPr>
          <w:rFonts w:cs="Arial"/>
          <w:szCs w:val="22"/>
        </w:rPr>
      </w:pPr>
      <w:r w:rsidRPr="0082521E">
        <w:rPr>
          <w:rFonts w:cs="Arial"/>
          <w:szCs w:val="22"/>
        </w:rPr>
        <w:t>Telephone</w:t>
      </w:r>
      <w:r w:rsidRPr="0082521E">
        <w:rPr>
          <w:rFonts w:cs="Arial"/>
          <w:szCs w:val="22"/>
        </w:rPr>
        <w:tab/>
        <w:t>+ 64 (04) 819 6800</w:t>
      </w:r>
    </w:p>
    <w:p w:rsidR="0083070F" w:rsidRDefault="00136570" w:rsidP="0082521E">
      <w:pPr>
        <w:tabs>
          <w:tab w:val="left" w:pos="1418"/>
        </w:tabs>
        <w:spacing w:after="120"/>
        <w:rPr>
          <w:rFonts w:cs="Arial"/>
        </w:rPr>
      </w:pPr>
      <w:r w:rsidRPr="0082521E">
        <w:rPr>
          <w:rFonts w:cs="Arial"/>
          <w:bCs/>
        </w:rPr>
        <w:t>Email</w:t>
      </w:r>
      <w:r w:rsidRPr="0082521E">
        <w:rPr>
          <w:rFonts w:cs="Arial"/>
          <w:bCs/>
        </w:rPr>
        <w:tab/>
      </w:r>
      <w:r w:rsidRPr="0082521E">
        <w:rPr>
          <w:rFonts w:cs="Arial"/>
          <w:bCs/>
        </w:rPr>
        <w:tab/>
      </w:r>
      <w:hyperlink r:id="rId42" w:history="1">
        <w:r w:rsidR="000A4530" w:rsidRPr="007D559D">
          <w:rPr>
            <w:rStyle w:val="Hyperlink"/>
            <w:rFonts w:cs="Arial"/>
            <w:sz w:val="22"/>
          </w:rPr>
          <w:t>Medsafeadrquery@moh.govt.nz</w:t>
        </w:r>
      </w:hyperlink>
    </w:p>
    <w:p w:rsidR="000A4530" w:rsidRDefault="000A4530" w:rsidP="0082521E">
      <w:pPr>
        <w:tabs>
          <w:tab w:val="left" w:pos="1418"/>
        </w:tabs>
        <w:spacing w:after="120"/>
        <w:rPr>
          <w:rFonts w:cs="Arial"/>
        </w:rPr>
      </w:pPr>
    </w:p>
    <w:p w:rsidR="00ED77FF" w:rsidRPr="0082521E" w:rsidRDefault="00ED77FF" w:rsidP="0082521E">
      <w:pPr>
        <w:tabs>
          <w:tab w:val="left" w:pos="1418"/>
        </w:tabs>
        <w:spacing w:after="120"/>
        <w:rPr>
          <w:rFonts w:cs="Arial"/>
        </w:rPr>
      </w:pPr>
    </w:p>
    <w:p w:rsidR="00ED77FF" w:rsidRDefault="00ED77FF">
      <w:pPr>
        <w:rPr>
          <w:rFonts w:cs="Arial"/>
          <w:b/>
          <w:color w:val="008080"/>
          <w:sz w:val="36"/>
          <w:szCs w:val="22"/>
        </w:rPr>
      </w:pPr>
      <w:bookmarkStart w:id="142" w:name="_Toc414346429"/>
      <w:r>
        <w:rPr>
          <w:szCs w:val="22"/>
        </w:rPr>
        <w:br w:type="page"/>
      </w:r>
    </w:p>
    <w:p w:rsidR="009F42FC" w:rsidRPr="0086572A" w:rsidRDefault="00CE5DED" w:rsidP="009F42FC">
      <w:pPr>
        <w:pStyle w:val="NoHeading1"/>
        <w:spacing w:after="0" w:line="280" w:lineRule="atLeast"/>
        <w:ind w:right="340"/>
      </w:pPr>
      <w:bookmarkStart w:id="143" w:name="_Toc414522818"/>
      <w:r>
        <w:rPr>
          <w:szCs w:val="22"/>
        </w:rPr>
        <w:t>Section 4</w:t>
      </w:r>
      <w:r w:rsidR="009F42FC">
        <w:rPr>
          <w:szCs w:val="22"/>
        </w:rPr>
        <w:t>:</w:t>
      </w:r>
      <w:r w:rsidR="009F42FC">
        <w:rPr>
          <w:szCs w:val="22"/>
        </w:rPr>
        <w:tab/>
      </w:r>
      <w:r w:rsidR="009F42FC">
        <w:t>Signal Management Process</w:t>
      </w:r>
      <w:bookmarkEnd w:id="142"/>
      <w:bookmarkEnd w:id="143"/>
      <w:r w:rsidR="009F42FC">
        <w:t xml:space="preserve"> </w:t>
      </w:r>
    </w:p>
    <w:p w:rsidR="009F42FC" w:rsidRDefault="009F42FC" w:rsidP="009F42FC"/>
    <w:p w:rsidR="007F0424" w:rsidRPr="0086572A" w:rsidRDefault="007F0424" w:rsidP="009F42FC"/>
    <w:p w:rsidR="009F42FC" w:rsidRDefault="009F42FC" w:rsidP="009F42FC">
      <w:pPr>
        <w:pBdr>
          <w:top w:val="single" w:sz="4" w:space="0" w:color="auto"/>
          <w:left w:val="single" w:sz="4" w:space="4" w:color="auto"/>
          <w:bottom w:val="single" w:sz="4" w:space="1" w:color="auto"/>
          <w:right w:val="single" w:sz="4" w:space="4" w:color="auto"/>
        </w:pBdr>
        <w:ind w:right="340"/>
        <w:contextualSpacing/>
        <w:rPr>
          <w:rStyle w:val="NormalBoldTeal"/>
        </w:rPr>
      </w:pPr>
    </w:p>
    <w:p w:rsidR="009F42FC" w:rsidRDefault="009F42FC" w:rsidP="00DB50E6">
      <w:pPr>
        <w:pBdr>
          <w:top w:val="single" w:sz="4" w:space="0" w:color="auto"/>
          <w:left w:val="single" w:sz="4" w:space="4" w:color="auto"/>
          <w:bottom w:val="single" w:sz="4" w:space="1" w:color="auto"/>
          <w:right w:val="single" w:sz="4" w:space="4" w:color="auto"/>
        </w:pBdr>
        <w:spacing w:after="120"/>
        <w:ind w:right="340"/>
        <w:rPr>
          <w:rStyle w:val="NormalBoldTeal"/>
          <w:sz w:val="24"/>
        </w:rPr>
      </w:pPr>
      <w:r w:rsidRPr="00557EA4">
        <w:rPr>
          <w:rStyle w:val="NormalBoldTeal"/>
          <w:sz w:val="24"/>
        </w:rPr>
        <w:t>Section summary</w:t>
      </w:r>
    </w:p>
    <w:p w:rsidR="009F42FC" w:rsidRPr="0005336D" w:rsidRDefault="009F42FC" w:rsidP="009F42FC">
      <w:pPr>
        <w:pBdr>
          <w:top w:val="single" w:sz="4" w:space="0" w:color="auto"/>
          <w:left w:val="single" w:sz="4" w:space="4" w:color="auto"/>
          <w:bottom w:val="single" w:sz="4" w:space="1" w:color="auto"/>
          <w:right w:val="single" w:sz="4" w:space="4" w:color="auto"/>
        </w:pBdr>
        <w:spacing w:line="280" w:lineRule="atLeast"/>
        <w:ind w:right="340"/>
        <w:rPr>
          <w:rStyle w:val="NormalBoldTeal"/>
          <w:rFonts w:cs="Arial"/>
          <w:b w:val="0"/>
          <w:i/>
          <w:color w:val="auto"/>
          <w:szCs w:val="22"/>
        </w:rPr>
      </w:pPr>
      <w:r w:rsidRPr="0005336D">
        <w:rPr>
          <w:rStyle w:val="NormalBoldTeal"/>
          <w:rFonts w:cs="Arial"/>
          <w:b w:val="0"/>
          <w:i/>
          <w:color w:val="auto"/>
          <w:szCs w:val="22"/>
        </w:rPr>
        <w:t xml:space="preserve">This section provides </w:t>
      </w:r>
      <w:r w:rsidR="00E03972">
        <w:rPr>
          <w:rStyle w:val="NormalBoldTeal"/>
          <w:rFonts w:cs="Arial"/>
          <w:b w:val="0"/>
          <w:i/>
          <w:color w:val="auto"/>
          <w:szCs w:val="22"/>
        </w:rPr>
        <w:t>guidance</w:t>
      </w:r>
      <w:r w:rsidRPr="0005336D">
        <w:rPr>
          <w:rStyle w:val="NormalBoldTeal"/>
          <w:rFonts w:cs="Arial"/>
          <w:b w:val="0"/>
          <w:i/>
          <w:color w:val="auto"/>
          <w:szCs w:val="22"/>
        </w:rPr>
        <w:t xml:space="preserve"> on </w:t>
      </w:r>
      <w:r>
        <w:rPr>
          <w:rStyle w:val="NormalBoldTeal"/>
          <w:rFonts w:cs="Arial"/>
          <w:b w:val="0"/>
          <w:i/>
          <w:color w:val="auto"/>
          <w:szCs w:val="22"/>
        </w:rPr>
        <w:t xml:space="preserve">how sponsors should </w:t>
      </w:r>
      <w:r w:rsidR="004A07DE">
        <w:rPr>
          <w:rStyle w:val="NormalBoldTeal"/>
          <w:rFonts w:cs="Arial"/>
          <w:b w:val="0"/>
          <w:i/>
          <w:color w:val="auto"/>
          <w:szCs w:val="22"/>
        </w:rPr>
        <w:t>monitor the safety of their medicines in order to comply with the requirements of section 41</w:t>
      </w:r>
      <w:r w:rsidR="00ED5AF8">
        <w:rPr>
          <w:rStyle w:val="NormalBoldTeal"/>
          <w:rFonts w:cs="Arial"/>
          <w:b w:val="0"/>
          <w:i/>
          <w:color w:val="auto"/>
          <w:szCs w:val="22"/>
        </w:rPr>
        <w:t xml:space="preserve"> of the Act</w:t>
      </w:r>
      <w:r w:rsidR="004A07DE">
        <w:rPr>
          <w:rStyle w:val="NormalBoldTeal"/>
          <w:rFonts w:cs="Arial"/>
          <w:b w:val="0"/>
          <w:i/>
          <w:color w:val="auto"/>
          <w:szCs w:val="22"/>
        </w:rPr>
        <w:t>.</w:t>
      </w:r>
    </w:p>
    <w:p w:rsidR="009F42FC" w:rsidRPr="00186D8B" w:rsidRDefault="009F42FC" w:rsidP="009F42FC">
      <w:pPr>
        <w:pBdr>
          <w:top w:val="single" w:sz="4" w:space="0" w:color="auto"/>
          <w:left w:val="single" w:sz="4" w:space="4" w:color="auto"/>
          <w:bottom w:val="single" w:sz="4" w:space="1" w:color="auto"/>
          <w:right w:val="single" w:sz="4" w:space="4" w:color="auto"/>
        </w:pBdr>
        <w:ind w:right="340"/>
        <w:rPr>
          <w:rStyle w:val="NormalBoldTeal"/>
          <w:b w:val="0"/>
          <w:color w:val="auto"/>
          <w:szCs w:val="22"/>
        </w:rPr>
      </w:pPr>
    </w:p>
    <w:p w:rsidR="007F0424" w:rsidRPr="0061369D" w:rsidRDefault="007F0424" w:rsidP="007F0424">
      <w:pPr>
        <w:spacing w:line="260" w:lineRule="exact"/>
        <w:ind w:right="340"/>
        <w:rPr>
          <w:rStyle w:val="NormalBoldTeal"/>
          <w:b w:val="0"/>
          <w:color w:val="auto"/>
        </w:rPr>
      </w:pPr>
    </w:p>
    <w:p w:rsidR="009F42FC" w:rsidRDefault="00CE5DED" w:rsidP="009F42FC">
      <w:pPr>
        <w:pStyle w:val="NoHeading2"/>
        <w:keepNext/>
        <w:spacing w:before="120"/>
        <w:ind w:right="340"/>
      </w:pPr>
      <w:bookmarkStart w:id="144" w:name="_Toc414346430"/>
      <w:bookmarkStart w:id="145" w:name="_Toc414522819"/>
      <w:r>
        <w:t>4</w:t>
      </w:r>
      <w:r w:rsidR="009F42FC">
        <w:t>.1</w:t>
      </w:r>
      <w:r w:rsidR="009F42FC">
        <w:tab/>
        <w:t>Introduction</w:t>
      </w:r>
      <w:bookmarkEnd w:id="144"/>
      <w:bookmarkEnd w:id="145"/>
    </w:p>
    <w:p w:rsidR="00A863DB" w:rsidRDefault="00A863DB" w:rsidP="00A863DB">
      <w:pPr>
        <w:spacing w:line="280" w:lineRule="atLeast"/>
        <w:rPr>
          <w:szCs w:val="22"/>
        </w:rPr>
      </w:pPr>
    </w:p>
    <w:p w:rsidR="00A863DB" w:rsidRDefault="00A863DB" w:rsidP="00A863DB">
      <w:pPr>
        <w:spacing w:line="280" w:lineRule="atLeast"/>
        <w:rPr>
          <w:szCs w:val="22"/>
        </w:rPr>
      </w:pPr>
      <w:r>
        <w:rPr>
          <w:szCs w:val="22"/>
        </w:rPr>
        <w:t>A “</w:t>
      </w:r>
      <w:r w:rsidRPr="006C6FFE">
        <w:rPr>
          <w:szCs w:val="22"/>
        </w:rPr>
        <w:t>signal</w:t>
      </w:r>
      <w:r>
        <w:rPr>
          <w:szCs w:val="22"/>
        </w:rPr>
        <w:t>” is defined as new information on a possible risk</w:t>
      </w:r>
      <w:r w:rsidR="00E03972">
        <w:rPr>
          <w:szCs w:val="22"/>
        </w:rPr>
        <w:t xml:space="preserve"> of harm due to treatment with</w:t>
      </w:r>
      <w:r>
        <w:rPr>
          <w:szCs w:val="22"/>
        </w:rPr>
        <w:t xml:space="preserve"> a medicine. </w:t>
      </w:r>
      <w:r w:rsidR="00E03972">
        <w:rPr>
          <w:szCs w:val="22"/>
        </w:rPr>
        <w:t xml:space="preserve">This </w:t>
      </w:r>
      <w:r>
        <w:rPr>
          <w:szCs w:val="22"/>
        </w:rPr>
        <w:t>information may suggest a new risk</w:t>
      </w:r>
      <w:r w:rsidR="00E03972">
        <w:rPr>
          <w:szCs w:val="22"/>
        </w:rPr>
        <w:t xml:space="preserve"> or</w:t>
      </w:r>
      <w:r>
        <w:rPr>
          <w:szCs w:val="22"/>
        </w:rPr>
        <w:t xml:space="preserve"> a new aspect of an already identified risk.</w:t>
      </w:r>
    </w:p>
    <w:p w:rsidR="00A863DB" w:rsidRDefault="00A863DB" w:rsidP="00A863DB">
      <w:pPr>
        <w:spacing w:line="280" w:lineRule="atLeast"/>
        <w:rPr>
          <w:szCs w:val="22"/>
        </w:rPr>
      </w:pPr>
    </w:p>
    <w:p w:rsidR="00452622" w:rsidRDefault="00452622" w:rsidP="00452622">
      <w:pPr>
        <w:spacing w:line="280" w:lineRule="atLeast"/>
        <w:rPr>
          <w:rFonts w:cs="Arial"/>
          <w:szCs w:val="22"/>
        </w:rPr>
      </w:pPr>
      <w:r>
        <w:rPr>
          <w:rFonts w:cs="Arial"/>
          <w:szCs w:val="22"/>
        </w:rPr>
        <w:t>The sources for identifying new signals are diverse and include all scientific information concerning the use of the medicine, including quality (</w:t>
      </w:r>
      <w:proofErr w:type="spellStart"/>
      <w:r>
        <w:rPr>
          <w:rFonts w:cs="Arial"/>
          <w:szCs w:val="22"/>
        </w:rPr>
        <w:t>eg</w:t>
      </w:r>
      <w:proofErr w:type="spellEnd"/>
      <w:r>
        <w:rPr>
          <w:rFonts w:cs="Arial"/>
          <w:szCs w:val="22"/>
        </w:rPr>
        <w:t xml:space="preserve">, manufacturing data), non-clinical and clinical data, </w:t>
      </w:r>
      <w:proofErr w:type="spellStart"/>
      <w:r>
        <w:rPr>
          <w:rFonts w:cs="Arial"/>
          <w:szCs w:val="22"/>
        </w:rPr>
        <w:t>pharmacovigilance</w:t>
      </w:r>
      <w:proofErr w:type="spellEnd"/>
      <w:r>
        <w:rPr>
          <w:rFonts w:cs="Arial"/>
          <w:szCs w:val="22"/>
        </w:rPr>
        <w:t xml:space="preserve"> and </w:t>
      </w:r>
      <w:proofErr w:type="spellStart"/>
      <w:r>
        <w:rPr>
          <w:rFonts w:cs="Arial"/>
          <w:szCs w:val="22"/>
        </w:rPr>
        <w:t>pharmacoepidemiological</w:t>
      </w:r>
      <w:proofErr w:type="spellEnd"/>
      <w:r>
        <w:rPr>
          <w:rFonts w:cs="Arial"/>
          <w:szCs w:val="22"/>
        </w:rPr>
        <w:t xml:space="preserve"> data.</w:t>
      </w:r>
    </w:p>
    <w:p w:rsidR="00452622" w:rsidRPr="00A863DB" w:rsidRDefault="00452622" w:rsidP="00452622">
      <w:pPr>
        <w:spacing w:line="280" w:lineRule="atLeast"/>
        <w:rPr>
          <w:szCs w:val="22"/>
        </w:rPr>
      </w:pPr>
    </w:p>
    <w:p w:rsidR="00A863DB" w:rsidRDefault="00A863DB" w:rsidP="00A863DB">
      <w:pPr>
        <w:spacing w:line="280" w:lineRule="atLeast"/>
        <w:rPr>
          <w:szCs w:val="22"/>
        </w:rPr>
      </w:pPr>
      <w:r>
        <w:rPr>
          <w:szCs w:val="22"/>
        </w:rPr>
        <w:t>Once a signal has been identified, investigations are necessary to refute or confirm</w:t>
      </w:r>
      <w:r w:rsidR="004946D0">
        <w:rPr>
          <w:szCs w:val="22"/>
        </w:rPr>
        <w:t xml:space="preserve"> the signal</w:t>
      </w:r>
      <w:r>
        <w:rPr>
          <w:szCs w:val="22"/>
        </w:rPr>
        <w:t xml:space="preserve"> and quantify the risk. These investigations consider the likelihood that the medicine caus</w:t>
      </w:r>
      <w:r w:rsidR="00040B27">
        <w:rPr>
          <w:szCs w:val="22"/>
        </w:rPr>
        <w:t>ed or contributed to the effect and</w:t>
      </w:r>
      <w:r>
        <w:rPr>
          <w:szCs w:val="22"/>
        </w:rPr>
        <w:t xml:space="preserve"> try to identify risk factors and estimate the frequency of occurrence.</w:t>
      </w:r>
    </w:p>
    <w:p w:rsidR="00A863DB" w:rsidRDefault="00A863DB" w:rsidP="00A863DB">
      <w:pPr>
        <w:spacing w:line="280" w:lineRule="atLeast"/>
        <w:rPr>
          <w:szCs w:val="22"/>
        </w:rPr>
      </w:pPr>
    </w:p>
    <w:p w:rsidR="00F832BD" w:rsidRPr="00D04C1A" w:rsidRDefault="00192F2A" w:rsidP="00192F2A">
      <w:pPr>
        <w:spacing w:line="280" w:lineRule="atLeast"/>
        <w:rPr>
          <w:rFonts w:cs="Arial"/>
          <w:i/>
          <w:szCs w:val="22"/>
        </w:rPr>
      </w:pPr>
      <w:r w:rsidRPr="00531343">
        <w:rPr>
          <w:rFonts w:cs="Arial"/>
          <w:szCs w:val="22"/>
        </w:rPr>
        <w:t xml:space="preserve">In order to identify new safety issues, </w:t>
      </w:r>
      <w:r w:rsidR="00F832BD">
        <w:rPr>
          <w:rFonts w:cs="Arial"/>
          <w:szCs w:val="22"/>
        </w:rPr>
        <w:t>Medsafe encourages</w:t>
      </w:r>
      <w:r w:rsidRPr="00531343">
        <w:rPr>
          <w:rFonts w:cs="Arial"/>
          <w:szCs w:val="22"/>
        </w:rPr>
        <w:t xml:space="preserve"> </w:t>
      </w:r>
      <w:r w:rsidR="00F832BD" w:rsidRPr="00531343">
        <w:rPr>
          <w:rFonts w:cs="Arial"/>
          <w:szCs w:val="22"/>
        </w:rPr>
        <w:t xml:space="preserve">sponsors </w:t>
      </w:r>
      <w:r w:rsidRPr="00531343">
        <w:rPr>
          <w:rFonts w:cs="Arial"/>
          <w:szCs w:val="22"/>
        </w:rPr>
        <w:t>to put in place a signal management process for each medicine they distribute.</w:t>
      </w:r>
      <w:r w:rsidR="00F832BD">
        <w:rPr>
          <w:rFonts w:cs="Arial"/>
          <w:szCs w:val="22"/>
        </w:rPr>
        <w:t xml:space="preserve"> Medsafe recommends that sponsors follow the guidance in the EMA document </w:t>
      </w:r>
      <w:r w:rsidR="00F832BD" w:rsidRPr="004946D0">
        <w:rPr>
          <w:rFonts w:cs="Arial"/>
          <w:szCs w:val="22"/>
        </w:rPr>
        <w:t xml:space="preserve">EMA/827661/2011, </w:t>
      </w:r>
      <w:r w:rsidR="00F832BD" w:rsidRPr="004946D0">
        <w:rPr>
          <w:rFonts w:cs="Arial"/>
          <w:i/>
          <w:szCs w:val="22"/>
        </w:rPr>
        <w:t>Module IX</w:t>
      </w:r>
      <w:r w:rsidR="00D04C1A">
        <w:rPr>
          <w:rFonts w:cs="Arial"/>
          <w:i/>
          <w:szCs w:val="22"/>
        </w:rPr>
        <w:t xml:space="preserve"> – </w:t>
      </w:r>
      <w:r w:rsidR="00F832BD" w:rsidRPr="004946D0">
        <w:rPr>
          <w:rFonts w:cs="Arial"/>
          <w:i/>
          <w:szCs w:val="22"/>
        </w:rPr>
        <w:t>Signal Management</w:t>
      </w:r>
      <w:r w:rsidR="00F832BD">
        <w:rPr>
          <w:rFonts w:cs="Arial"/>
          <w:szCs w:val="22"/>
        </w:rPr>
        <w:t xml:space="preserve"> </w:t>
      </w:r>
      <w:r w:rsidR="004946D0">
        <w:rPr>
          <w:rFonts w:cs="Arial"/>
          <w:szCs w:val="22"/>
        </w:rPr>
        <w:t>(</w:t>
      </w:r>
      <w:hyperlink r:id="rId43" w:history="1">
        <w:r w:rsidR="004946D0" w:rsidRPr="00640754">
          <w:rPr>
            <w:rStyle w:val="Hyperlink"/>
            <w:rFonts w:cs="Arial"/>
            <w:sz w:val="22"/>
            <w:szCs w:val="22"/>
          </w:rPr>
          <w:t>www.ema.europa.eu/docs/en_GB/document_library/Scientific_guideline/2012/06/WC500129138.pdf</w:t>
        </w:r>
      </w:hyperlink>
      <w:r w:rsidR="004946D0">
        <w:rPr>
          <w:rFonts w:cs="Arial"/>
          <w:szCs w:val="22"/>
        </w:rPr>
        <w:t>).</w:t>
      </w:r>
    </w:p>
    <w:p w:rsidR="009F42FC" w:rsidRDefault="009F42FC" w:rsidP="0016273A">
      <w:pPr>
        <w:spacing w:line="280" w:lineRule="atLeast"/>
        <w:rPr>
          <w:szCs w:val="22"/>
        </w:rPr>
      </w:pPr>
    </w:p>
    <w:p w:rsidR="000B4DAB" w:rsidRDefault="000B4DAB" w:rsidP="0016273A">
      <w:pPr>
        <w:spacing w:line="280" w:lineRule="atLeast"/>
        <w:rPr>
          <w:szCs w:val="22"/>
        </w:rPr>
      </w:pPr>
    </w:p>
    <w:p w:rsidR="00B46DB4" w:rsidRPr="00E562C9" w:rsidRDefault="00CE5DED" w:rsidP="00CE62E2">
      <w:pPr>
        <w:pStyle w:val="NoHeading2"/>
        <w:keepNext/>
        <w:spacing w:before="120"/>
        <w:ind w:right="340"/>
      </w:pPr>
      <w:bookmarkStart w:id="146" w:name="_Toc414346431"/>
      <w:bookmarkStart w:id="147" w:name="_Toc414522820"/>
      <w:r>
        <w:t>4</w:t>
      </w:r>
      <w:r w:rsidR="003B3D69" w:rsidRPr="00E562C9">
        <w:t>.2</w:t>
      </w:r>
      <w:r w:rsidR="00B46DB4" w:rsidRPr="00E562C9">
        <w:tab/>
        <w:t>Signal management process</w:t>
      </w:r>
      <w:bookmarkEnd w:id="146"/>
      <w:bookmarkEnd w:id="147"/>
    </w:p>
    <w:p w:rsidR="00D84C10" w:rsidRDefault="00D84C10" w:rsidP="00D84C10">
      <w:pPr>
        <w:spacing w:line="280" w:lineRule="atLeast"/>
        <w:rPr>
          <w:rFonts w:cs="Arial"/>
          <w:szCs w:val="22"/>
        </w:rPr>
      </w:pPr>
    </w:p>
    <w:p w:rsidR="000C6C51" w:rsidRDefault="000C6C51" w:rsidP="0016273A">
      <w:pPr>
        <w:spacing w:line="280" w:lineRule="atLeast"/>
        <w:rPr>
          <w:rFonts w:cs="Arial"/>
          <w:szCs w:val="22"/>
        </w:rPr>
      </w:pPr>
      <w:r>
        <w:rPr>
          <w:rFonts w:cs="Arial"/>
          <w:szCs w:val="22"/>
        </w:rPr>
        <w:t xml:space="preserve">The signal management process is </w:t>
      </w:r>
      <w:r w:rsidR="0002081F">
        <w:rPr>
          <w:rFonts w:cs="Arial"/>
          <w:szCs w:val="22"/>
        </w:rPr>
        <w:t>a</w:t>
      </w:r>
      <w:r>
        <w:rPr>
          <w:rFonts w:cs="Arial"/>
          <w:szCs w:val="22"/>
        </w:rPr>
        <w:t xml:space="preserve"> set of activities performed to identify whether the risks </w:t>
      </w:r>
      <w:r w:rsidR="00E03972">
        <w:rPr>
          <w:rFonts w:cs="Arial"/>
          <w:szCs w:val="22"/>
        </w:rPr>
        <w:t xml:space="preserve">known about </w:t>
      </w:r>
      <w:r>
        <w:rPr>
          <w:rFonts w:cs="Arial"/>
          <w:szCs w:val="22"/>
        </w:rPr>
        <w:t>a medicine have changed. These activities include but are not limited to:</w:t>
      </w:r>
    </w:p>
    <w:p w:rsidR="000C6C51" w:rsidRDefault="000A4530" w:rsidP="000C6C51">
      <w:pPr>
        <w:pStyle w:val="ListBullet"/>
        <w:spacing w:before="120" w:after="120"/>
        <w:ind w:left="714" w:hanging="357"/>
      </w:pPr>
      <w:r>
        <w:t>e</w:t>
      </w:r>
      <w:r w:rsidR="000C6C51" w:rsidRPr="000C6C51">
        <w:t>xamination of individual case safety reports (ICSRs)</w:t>
      </w:r>
    </w:p>
    <w:p w:rsidR="000C6C51" w:rsidRDefault="000A4530" w:rsidP="000C6C51">
      <w:pPr>
        <w:pStyle w:val="ListBullet"/>
        <w:spacing w:before="120" w:after="120"/>
        <w:ind w:left="714" w:hanging="357"/>
      </w:pPr>
      <w:r>
        <w:t>r</w:t>
      </w:r>
      <w:r w:rsidR="00E03972">
        <w:t>eview of a</w:t>
      </w:r>
      <w:r w:rsidR="000C6C51">
        <w:t>ggregated data from active surveillance systems or studies</w:t>
      </w:r>
    </w:p>
    <w:p w:rsidR="000C6C51" w:rsidRDefault="000A4530" w:rsidP="000C6C51">
      <w:pPr>
        <w:pStyle w:val="ListBullet"/>
        <w:spacing w:before="120" w:after="120"/>
        <w:ind w:left="714" w:hanging="357"/>
      </w:pPr>
      <w:r>
        <w:t>r</w:t>
      </w:r>
      <w:r w:rsidR="00E03972">
        <w:t>eview of l</w:t>
      </w:r>
      <w:r w:rsidR="000C6C51">
        <w:t>iterature information</w:t>
      </w:r>
    </w:p>
    <w:p w:rsidR="00E03972" w:rsidRDefault="000A4530" w:rsidP="000C6C51">
      <w:pPr>
        <w:pStyle w:val="ListBullet"/>
        <w:spacing w:before="120" w:after="120"/>
        <w:ind w:left="714" w:hanging="357"/>
      </w:pPr>
      <w:r>
        <w:t>c</w:t>
      </w:r>
      <w:r w:rsidR="00E03972">
        <w:t>linical studies</w:t>
      </w:r>
    </w:p>
    <w:p w:rsidR="00E03972" w:rsidRPr="000C6C51" w:rsidRDefault="000A4530" w:rsidP="000C6C51">
      <w:pPr>
        <w:pStyle w:val="ListBullet"/>
        <w:spacing w:before="120" w:after="120"/>
        <w:ind w:left="714" w:hanging="357"/>
      </w:pPr>
      <w:proofErr w:type="gramStart"/>
      <w:r>
        <w:t>p</w:t>
      </w:r>
      <w:r w:rsidR="00E03972">
        <w:t>re-clinical</w:t>
      </w:r>
      <w:proofErr w:type="gramEnd"/>
      <w:r w:rsidR="00E03972">
        <w:t xml:space="preserve"> studies.</w:t>
      </w:r>
    </w:p>
    <w:p w:rsidR="000C6C51" w:rsidRDefault="000C6C51" w:rsidP="0016273A">
      <w:pPr>
        <w:spacing w:line="280" w:lineRule="atLeast"/>
        <w:rPr>
          <w:rFonts w:cs="Arial"/>
          <w:szCs w:val="22"/>
        </w:rPr>
      </w:pPr>
    </w:p>
    <w:p w:rsidR="00D84C10" w:rsidRDefault="000C6C51" w:rsidP="0016273A">
      <w:pPr>
        <w:spacing w:line="280" w:lineRule="atLeast"/>
        <w:rPr>
          <w:rFonts w:cs="Arial"/>
          <w:szCs w:val="22"/>
        </w:rPr>
      </w:pPr>
      <w:r>
        <w:rPr>
          <w:rFonts w:cs="Arial"/>
          <w:szCs w:val="22"/>
        </w:rPr>
        <w:t>The process includes all steps from initial signal detection through validation and confirmation, analysis and prioritisation, signal assessment, recommending action</w:t>
      </w:r>
      <w:r w:rsidR="00DF385A">
        <w:rPr>
          <w:rFonts w:cs="Arial"/>
          <w:szCs w:val="22"/>
        </w:rPr>
        <w:t>,</w:t>
      </w:r>
      <w:r>
        <w:rPr>
          <w:rFonts w:cs="Arial"/>
          <w:szCs w:val="22"/>
        </w:rPr>
        <w:t xml:space="preserve"> </w:t>
      </w:r>
      <w:r w:rsidR="00E03972">
        <w:rPr>
          <w:rFonts w:cs="Arial"/>
          <w:szCs w:val="22"/>
        </w:rPr>
        <w:t xml:space="preserve">communication, </w:t>
      </w:r>
      <w:r>
        <w:rPr>
          <w:rFonts w:cs="Arial"/>
          <w:szCs w:val="22"/>
        </w:rPr>
        <w:t>and reviewing the result of any action taken.</w:t>
      </w:r>
      <w:r w:rsidR="00D84C10">
        <w:rPr>
          <w:rFonts w:cs="Arial"/>
          <w:szCs w:val="22"/>
        </w:rPr>
        <w:t xml:space="preserve"> </w:t>
      </w:r>
    </w:p>
    <w:p w:rsidR="004C166B" w:rsidRDefault="004C166B" w:rsidP="004C166B">
      <w:pPr>
        <w:spacing w:line="280" w:lineRule="atLeast"/>
        <w:rPr>
          <w:rFonts w:cs="Arial"/>
          <w:szCs w:val="22"/>
        </w:rPr>
      </w:pPr>
    </w:p>
    <w:p w:rsidR="000C6C51" w:rsidRDefault="00D84C10" w:rsidP="0016273A">
      <w:pPr>
        <w:spacing w:line="280" w:lineRule="atLeast"/>
        <w:rPr>
          <w:rFonts w:cs="Arial"/>
          <w:szCs w:val="22"/>
        </w:rPr>
      </w:pPr>
      <w:r>
        <w:rPr>
          <w:rFonts w:cs="Arial"/>
          <w:szCs w:val="22"/>
        </w:rPr>
        <w:t>Some flexibility in the sequence of these steps may be required</w:t>
      </w:r>
      <w:r w:rsidR="00452622">
        <w:rPr>
          <w:rFonts w:cs="Arial"/>
          <w:szCs w:val="22"/>
        </w:rPr>
        <w:t>.</w:t>
      </w:r>
      <w:r>
        <w:rPr>
          <w:rFonts w:cs="Arial"/>
          <w:szCs w:val="22"/>
        </w:rPr>
        <w:t xml:space="preserve"> </w:t>
      </w:r>
      <w:r w:rsidR="00452622">
        <w:rPr>
          <w:rFonts w:cs="Arial"/>
          <w:szCs w:val="22"/>
        </w:rPr>
        <w:t>F</w:t>
      </w:r>
      <w:r>
        <w:rPr>
          <w:rFonts w:cs="Arial"/>
          <w:szCs w:val="22"/>
        </w:rPr>
        <w:t xml:space="preserve">or example, when </w:t>
      </w:r>
      <w:r w:rsidRPr="00D84C10">
        <w:rPr>
          <w:rFonts w:cs="Arial"/>
          <w:szCs w:val="22"/>
        </w:rPr>
        <w:t xml:space="preserve">a signal is detected from </w:t>
      </w:r>
      <w:r>
        <w:rPr>
          <w:rFonts w:cs="Arial"/>
          <w:szCs w:val="22"/>
        </w:rPr>
        <w:t xml:space="preserve">the </w:t>
      </w:r>
      <w:r w:rsidRPr="00D84C10">
        <w:rPr>
          <w:rFonts w:cs="Arial"/>
          <w:szCs w:val="22"/>
        </w:rPr>
        <w:t xml:space="preserve">results of a study, it </w:t>
      </w:r>
      <w:r>
        <w:rPr>
          <w:rFonts w:cs="Arial"/>
          <w:szCs w:val="22"/>
        </w:rPr>
        <w:t>may</w:t>
      </w:r>
      <w:r w:rsidRPr="00D84C10">
        <w:rPr>
          <w:rFonts w:cs="Arial"/>
          <w:szCs w:val="22"/>
        </w:rPr>
        <w:t xml:space="preserve"> not </w:t>
      </w:r>
      <w:r>
        <w:rPr>
          <w:rFonts w:cs="Arial"/>
          <w:szCs w:val="22"/>
        </w:rPr>
        <w:t xml:space="preserve">be </w:t>
      </w:r>
      <w:r w:rsidRPr="00D84C10">
        <w:rPr>
          <w:rFonts w:cs="Arial"/>
          <w:szCs w:val="22"/>
        </w:rPr>
        <w:t>possible or practical to assess each individual case</w:t>
      </w:r>
      <w:r w:rsidR="00E03972">
        <w:rPr>
          <w:rFonts w:cs="Arial"/>
          <w:szCs w:val="22"/>
        </w:rPr>
        <w:t xml:space="preserve"> study report</w:t>
      </w:r>
      <w:r w:rsidRPr="00D84C10">
        <w:rPr>
          <w:rFonts w:cs="Arial"/>
          <w:szCs w:val="22"/>
        </w:rPr>
        <w:t xml:space="preserve"> and validation may require collection of additional data</w:t>
      </w:r>
      <w:r>
        <w:rPr>
          <w:rFonts w:cs="Arial"/>
          <w:szCs w:val="22"/>
        </w:rPr>
        <w:t>.</w:t>
      </w:r>
    </w:p>
    <w:p w:rsidR="009F7749" w:rsidRDefault="009F7749" w:rsidP="0016273A">
      <w:pPr>
        <w:spacing w:line="280" w:lineRule="atLeast"/>
        <w:rPr>
          <w:rFonts w:cs="Arial"/>
          <w:szCs w:val="22"/>
        </w:rPr>
      </w:pPr>
    </w:p>
    <w:p w:rsidR="006E1632" w:rsidRPr="00D84C10" w:rsidRDefault="00D84C10" w:rsidP="00D84C10">
      <w:pPr>
        <w:pStyle w:val="NoHeading2"/>
        <w:keepNext/>
        <w:spacing w:before="120"/>
        <w:ind w:right="340"/>
        <w:rPr>
          <w:sz w:val="24"/>
          <w:szCs w:val="24"/>
        </w:rPr>
      </w:pPr>
      <w:bookmarkStart w:id="148" w:name="_Toc414346432"/>
      <w:bookmarkStart w:id="149" w:name="_Toc414522821"/>
      <w:r w:rsidRPr="00D84C10">
        <w:rPr>
          <w:sz w:val="24"/>
          <w:szCs w:val="24"/>
        </w:rPr>
        <w:t>4.2.1</w:t>
      </w:r>
      <w:r w:rsidRPr="00D84C10">
        <w:rPr>
          <w:sz w:val="24"/>
          <w:szCs w:val="24"/>
        </w:rPr>
        <w:tab/>
      </w:r>
      <w:r w:rsidR="005300F7" w:rsidRPr="00D84C10">
        <w:rPr>
          <w:sz w:val="24"/>
          <w:szCs w:val="24"/>
        </w:rPr>
        <w:t>Signal detection</w:t>
      </w:r>
      <w:bookmarkEnd w:id="148"/>
      <w:bookmarkEnd w:id="149"/>
    </w:p>
    <w:p w:rsidR="00D84C10" w:rsidRDefault="00D84C10" w:rsidP="00352DA4">
      <w:pPr>
        <w:rPr>
          <w:rFonts w:cs="Arial"/>
          <w:szCs w:val="22"/>
        </w:rPr>
      </w:pPr>
    </w:p>
    <w:p w:rsidR="00CE5DED" w:rsidRDefault="00424CAD" w:rsidP="0016273A">
      <w:pPr>
        <w:spacing w:line="280" w:lineRule="atLeast"/>
        <w:rPr>
          <w:rFonts w:cs="Arial"/>
          <w:szCs w:val="22"/>
        </w:rPr>
      </w:pPr>
      <w:r>
        <w:rPr>
          <w:rFonts w:cs="Arial"/>
          <w:szCs w:val="22"/>
        </w:rPr>
        <w:t>Sponsors should note that th</w:t>
      </w:r>
      <w:r w:rsidR="00F571B3">
        <w:rPr>
          <w:rFonts w:cs="Arial"/>
          <w:szCs w:val="22"/>
        </w:rPr>
        <w:t xml:space="preserve">e detection of signals is a multidisciplinary approach. </w:t>
      </w:r>
      <w:r>
        <w:rPr>
          <w:rFonts w:cs="Arial"/>
          <w:szCs w:val="22"/>
        </w:rPr>
        <w:t>As a general principle</w:t>
      </w:r>
      <w:r w:rsidR="00040B27">
        <w:rPr>
          <w:rFonts w:cs="Arial"/>
          <w:szCs w:val="22"/>
        </w:rPr>
        <w:t>,</w:t>
      </w:r>
      <w:r>
        <w:rPr>
          <w:rFonts w:cs="Arial"/>
          <w:szCs w:val="22"/>
        </w:rPr>
        <w:t xml:space="preserve"> signal detection should follow a recognised methodology</w:t>
      </w:r>
      <w:r w:rsidR="00274B14">
        <w:rPr>
          <w:rFonts w:cs="Arial"/>
          <w:szCs w:val="22"/>
        </w:rPr>
        <w:t>. This</w:t>
      </w:r>
      <w:r>
        <w:rPr>
          <w:rFonts w:cs="Arial"/>
          <w:szCs w:val="22"/>
        </w:rPr>
        <w:t xml:space="preserve"> may vary </w:t>
      </w:r>
      <w:r w:rsidR="00452622">
        <w:rPr>
          <w:rFonts w:cs="Arial"/>
          <w:szCs w:val="22"/>
        </w:rPr>
        <w:t xml:space="preserve">depending </w:t>
      </w:r>
      <w:r>
        <w:rPr>
          <w:rFonts w:cs="Arial"/>
          <w:szCs w:val="22"/>
        </w:rPr>
        <w:t xml:space="preserve">on the type of medicine. </w:t>
      </w:r>
      <w:r w:rsidR="0002081F" w:rsidRPr="00F571B3">
        <w:rPr>
          <w:rFonts w:cs="Arial"/>
          <w:szCs w:val="22"/>
        </w:rPr>
        <w:t xml:space="preserve">The </w:t>
      </w:r>
      <w:r w:rsidR="00F571B3">
        <w:rPr>
          <w:rFonts w:cs="Arial"/>
          <w:szCs w:val="22"/>
        </w:rPr>
        <w:t xml:space="preserve">detection </w:t>
      </w:r>
      <w:r w:rsidR="0002081F" w:rsidRPr="00F571B3">
        <w:rPr>
          <w:rFonts w:cs="Arial"/>
          <w:szCs w:val="22"/>
        </w:rPr>
        <w:t xml:space="preserve">method should be appropriate for </w:t>
      </w:r>
      <w:r w:rsidR="00F571B3">
        <w:rPr>
          <w:rFonts w:cs="Arial"/>
          <w:szCs w:val="22"/>
        </w:rPr>
        <w:t xml:space="preserve">the </w:t>
      </w:r>
      <w:r w:rsidR="0002081F" w:rsidRPr="00F571B3">
        <w:rPr>
          <w:rFonts w:cs="Arial"/>
          <w:szCs w:val="22"/>
        </w:rPr>
        <w:t>data set</w:t>
      </w:r>
      <w:r w:rsidR="00F571B3">
        <w:rPr>
          <w:rFonts w:cs="Arial"/>
          <w:szCs w:val="22"/>
        </w:rPr>
        <w:t>.</w:t>
      </w:r>
      <w:r w:rsidR="0002081F" w:rsidRPr="00F571B3">
        <w:rPr>
          <w:rFonts w:cs="Arial"/>
          <w:szCs w:val="22"/>
        </w:rPr>
        <w:t xml:space="preserve"> </w:t>
      </w:r>
      <w:r w:rsidR="00F571B3">
        <w:rPr>
          <w:rFonts w:cs="Arial"/>
          <w:szCs w:val="22"/>
        </w:rPr>
        <w:t>D</w:t>
      </w:r>
      <w:r w:rsidR="0002081F" w:rsidRPr="00F571B3">
        <w:rPr>
          <w:rFonts w:cs="Arial"/>
          <w:szCs w:val="22"/>
        </w:rPr>
        <w:t>ata from all appropriate sources should be considered</w:t>
      </w:r>
      <w:r w:rsidR="00F571B3">
        <w:rPr>
          <w:rFonts w:cs="Arial"/>
          <w:szCs w:val="22"/>
        </w:rPr>
        <w:t>.</w:t>
      </w:r>
      <w:r w:rsidR="0002081F" w:rsidRPr="00F571B3">
        <w:rPr>
          <w:rFonts w:cs="Arial"/>
          <w:szCs w:val="22"/>
        </w:rPr>
        <w:t xml:space="preserve"> </w:t>
      </w:r>
      <w:r w:rsidR="00CE5DED">
        <w:rPr>
          <w:rFonts w:cs="Arial"/>
          <w:szCs w:val="22"/>
        </w:rPr>
        <w:t>S</w:t>
      </w:r>
      <w:r w:rsidR="0002081F" w:rsidRPr="00F571B3">
        <w:rPr>
          <w:rFonts w:cs="Arial"/>
          <w:szCs w:val="22"/>
        </w:rPr>
        <w:t xml:space="preserve">ystems </w:t>
      </w:r>
      <w:r w:rsidR="00CE5DED">
        <w:rPr>
          <w:rFonts w:cs="Arial"/>
          <w:szCs w:val="22"/>
        </w:rPr>
        <w:t xml:space="preserve">should be present </w:t>
      </w:r>
      <w:r w:rsidR="0002081F" w:rsidRPr="00F571B3">
        <w:rPr>
          <w:rFonts w:cs="Arial"/>
          <w:szCs w:val="22"/>
        </w:rPr>
        <w:t xml:space="preserve">to ensure </w:t>
      </w:r>
      <w:r w:rsidR="00CE5DED">
        <w:rPr>
          <w:rFonts w:cs="Arial"/>
          <w:szCs w:val="22"/>
        </w:rPr>
        <w:t xml:space="preserve">the </w:t>
      </w:r>
      <w:r w:rsidR="0002081F" w:rsidRPr="00F571B3">
        <w:rPr>
          <w:rFonts w:cs="Arial"/>
          <w:szCs w:val="22"/>
        </w:rPr>
        <w:t>quality</w:t>
      </w:r>
      <w:r w:rsidR="00CE5DED">
        <w:rPr>
          <w:rFonts w:cs="Arial"/>
          <w:szCs w:val="22"/>
        </w:rPr>
        <w:t xml:space="preserve"> of the detection activity</w:t>
      </w:r>
      <w:r w:rsidR="00D84C10">
        <w:rPr>
          <w:rFonts w:cs="Arial"/>
          <w:szCs w:val="22"/>
        </w:rPr>
        <w:t xml:space="preserve"> and the data should be reviewed in a timely manner</w:t>
      </w:r>
      <w:r w:rsidR="00CE5DED">
        <w:rPr>
          <w:rFonts w:cs="Arial"/>
          <w:szCs w:val="22"/>
        </w:rPr>
        <w:t>.</w:t>
      </w:r>
      <w:r w:rsidR="0002081F" w:rsidRPr="00F571B3">
        <w:rPr>
          <w:rFonts w:cs="Arial"/>
          <w:szCs w:val="22"/>
        </w:rPr>
        <w:t xml:space="preserve"> </w:t>
      </w:r>
      <w:r w:rsidR="00D84C10">
        <w:rPr>
          <w:rFonts w:cs="Arial"/>
          <w:szCs w:val="22"/>
        </w:rPr>
        <w:t xml:space="preserve">The whole process should be adequately documented </w:t>
      </w:r>
      <w:r w:rsidR="00D84C10" w:rsidRPr="00D84C10">
        <w:rPr>
          <w:rFonts w:cs="Arial"/>
          <w:szCs w:val="22"/>
        </w:rPr>
        <w:t>including the rationale for the method and periodicity of the signal detection activity</w:t>
      </w:r>
      <w:r w:rsidR="00D84C10">
        <w:rPr>
          <w:rFonts w:cs="Arial"/>
          <w:szCs w:val="22"/>
        </w:rPr>
        <w:t xml:space="preserve">. </w:t>
      </w:r>
    </w:p>
    <w:p w:rsidR="00CE5DED" w:rsidRPr="009F7749" w:rsidRDefault="00CE5DED" w:rsidP="0016273A">
      <w:pPr>
        <w:spacing w:line="280" w:lineRule="atLeast"/>
        <w:rPr>
          <w:rFonts w:cs="Arial"/>
          <w:strike/>
          <w:szCs w:val="22"/>
        </w:rPr>
      </w:pPr>
    </w:p>
    <w:p w:rsidR="006E1632" w:rsidRPr="00D84C10" w:rsidRDefault="00D84C10" w:rsidP="00D84C10">
      <w:pPr>
        <w:pStyle w:val="NoHeading2"/>
        <w:keepNext/>
        <w:spacing w:before="120"/>
        <w:ind w:right="340"/>
        <w:rPr>
          <w:sz w:val="24"/>
          <w:szCs w:val="24"/>
        </w:rPr>
      </w:pPr>
      <w:bookmarkStart w:id="150" w:name="_Toc414346433"/>
      <w:bookmarkStart w:id="151" w:name="_Toc414522822"/>
      <w:r>
        <w:rPr>
          <w:sz w:val="24"/>
          <w:szCs w:val="24"/>
        </w:rPr>
        <w:t>4.2.2</w:t>
      </w:r>
      <w:r>
        <w:rPr>
          <w:sz w:val="24"/>
          <w:szCs w:val="24"/>
        </w:rPr>
        <w:tab/>
      </w:r>
      <w:r w:rsidR="0002081F" w:rsidRPr="00D84C10">
        <w:rPr>
          <w:sz w:val="24"/>
          <w:szCs w:val="24"/>
        </w:rPr>
        <w:t>Signal validation</w:t>
      </w:r>
      <w:bookmarkEnd w:id="150"/>
      <w:bookmarkEnd w:id="151"/>
    </w:p>
    <w:p w:rsidR="00D84C10" w:rsidRDefault="00D84C10" w:rsidP="00352DA4">
      <w:pPr>
        <w:rPr>
          <w:rFonts w:cs="Arial"/>
          <w:szCs w:val="22"/>
        </w:rPr>
      </w:pPr>
    </w:p>
    <w:p w:rsidR="00452622" w:rsidRDefault="00D84C10" w:rsidP="00FC0198">
      <w:pPr>
        <w:spacing w:line="280" w:lineRule="atLeast"/>
        <w:rPr>
          <w:rFonts w:cs="Arial"/>
          <w:szCs w:val="22"/>
        </w:rPr>
      </w:pPr>
      <w:r>
        <w:rPr>
          <w:rFonts w:cs="Arial"/>
          <w:szCs w:val="22"/>
        </w:rPr>
        <w:t xml:space="preserve">Signal validation </w:t>
      </w:r>
      <w:r w:rsidR="00452622">
        <w:rPr>
          <w:rFonts w:cs="Arial"/>
          <w:szCs w:val="22"/>
        </w:rPr>
        <w:t xml:space="preserve">is </w:t>
      </w:r>
      <w:r w:rsidR="00424CAD">
        <w:rPr>
          <w:rFonts w:cs="Arial"/>
          <w:szCs w:val="22"/>
        </w:rPr>
        <w:t xml:space="preserve">the process of evaluating the detected signal to determine potential causality and justification for further analysis. </w:t>
      </w:r>
    </w:p>
    <w:p w:rsidR="00452622" w:rsidRDefault="00452622" w:rsidP="00FC0198">
      <w:pPr>
        <w:spacing w:line="280" w:lineRule="atLeast"/>
        <w:rPr>
          <w:rFonts w:cs="Arial"/>
          <w:szCs w:val="22"/>
        </w:rPr>
      </w:pPr>
    </w:p>
    <w:p w:rsidR="00FC0198" w:rsidRDefault="00424CAD" w:rsidP="00FC0198">
      <w:pPr>
        <w:spacing w:line="280" w:lineRule="atLeast"/>
        <w:rPr>
          <w:rFonts w:cs="Arial"/>
          <w:szCs w:val="22"/>
        </w:rPr>
      </w:pPr>
      <w:r>
        <w:rPr>
          <w:rFonts w:cs="Arial"/>
          <w:szCs w:val="22"/>
        </w:rPr>
        <w:t xml:space="preserve">This </w:t>
      </w:r>
      <w:r w:rsidR="00452622">
        <w:rPr>
          <w:rFonts w:cs="Arial"/>
          <w:szCs w:val="22"/>
        </w:rPr>
        <w:t xml:space="preserve">process </w:t>
      </w:r>
      <w:r>
        <w:rPr>
          <w:rFonts w:cs="Arial"/>
          <w:szCs w:val="22"/>
        </w:rPr>
        <w:t xml:space="preserve">takes into account </w:t>
      </w:r>
      <w:r w:rsidR="00FC0198">
        <w:rPr>
          <w:rFonts w:cs="Arial"/>
          <w:szCs w:val="22"/>
        </w:rPr>
        <w:t xml:space="preserve">the </w:t>
      </w:r>
      <w:r w:rsidR="0002081F" w:rsidRPr="00D84C10">
        <w:rPr>
          <w:rFonts w:cs="Arial"/>
          <w:szCs w:val="22"/>
        </w:rPr>
        <w:t xml:space="preserve">clinical relevance </w:t>
      </w:r>
      <w:r w:rsidR="00FC0198">
        <w:rPr>
          <w:rFonts w:cs="Arial"/>
          <w:szCs w:val="22"/>
        </w:rPr>
        <w:t xml:space="preserve">of the signal </w:t>
      </w:r>
      <w:r w:rsidR="0002081F" w:rsidRPr="00D84C10">
        <w:rPr>
          <w:rFonts w:cs="Arial"/>
          <w:szCs w:val="22"/>
        </w:rPr>
        <w:t>(</w:t>
      </w:r>
      <w:r w:rsidR="00FC0198">
        <w:rPr>
          <w:rFonts w:cs="Arial"/>
          <w:szCs w:val="22"/>
        </w:rPr>
        <w:t xml:space="preserve">such as </w:t>
      </w:r>
      <w:r w:rsidR="00352DA4">
        <w:rPr>
          <w:rFonts w:cs="Arial"/>
          <w:szCs w:val="22"/>
        </w:rPr>
        <w:t xml:space="preserve">its </w:t>
      </w:r>
      <w:r w:rsidR="00FC0198">
        <w:rPr>
          <w:rFonts w:cs="Arial"/>
          <w:szCs w:val="22"/>
        </w:rPr>
        <w:t>plausible mechanism),</w:t>
      </w:r>
      <w:r w:rsidR="0002081F" w:rsidRPr="00D84C10">
        <w:rPr>
          <w:rFonts w:cs="Arial"/>
          <w:szCs w:val="22"/>
        </w:rPr>
        <w:t xml:space="preserve"> </w:t>
      </w:r>
      <w:r w:rsidR="00FC0198">
        <w:rPr>
          <w:rFonts w:cs="Arial"/>
          <w:szCs w:val="22"/>
        </w:rPr>
        <w:t xml:space="preserve">the </w:t>
      </w:r>
      <w:r w:rsidR="0002081F" w:rsidRPr="00D84C10">
        <w:rPr>
          <w:rFonts w:cs="Arial"/>
          <w:szCs w:val="22"/>
        </w:rPr>
        <w:t>seriousness</w:t>
      </w:r>
      <w:r w:rsidR="00FC0198">
        <w:rPr>
          <w:rFonts w:cs="Arial"/>
          <w:szCs w:val="22"/>
        </w:rPr>
        <w:t xml:space="preserve"> and severity of the reaction and its outcome</w:t>
      </w:r>
      <w:r w:rsidR="0002081F" w:rsidRPr="00D84C10">
        <w:rPr>
          <w:rFonts w:cs="Arial"/>
          <w:szCs w:val="22"/>
        </w:rPr>
        <w:t xml:space="preserve">, </w:t>
      </w:r>
      <w:r w:rsidR="005F0869">
        <w:rPr>
          <w:rFonts w:cs="Arial"/>
          <w:szCs w:val="22"/>
        </w:rPr>
        <w:t xml:space="preserve">as well as </w:t>
      </w:r>
      <w:r w:rsidR="00FC0198">
        <w:rPr>
          <w:rFonts w:cs="Arial"/>
          <w:szCs w:val="22"/>
        </w:rPr>
        <w:t xml:space="preserve">the </w:t>
      </w:r>
      <w:r w:rsidR="0002081F" w:rsidRPr="00D84C10">
        <w:rPr>
          <w:rFonts w:cs="Arial"/>
          <w:szCs w:val="22"/>
        </w:rPr>
        <w:t>novelty</w:t>
      </w:r>
      <w:r w:rsidR="00FC0198">
        <w:rPr>
          <w:rFonts w:cs="Arial"/>
          <w:szCs w:val="22"/>
        </w:rPr>
        <w:t xml:space="preserve"> of the reaction</w:t>
      </w:r>
      <w:r w:rsidR="00452622">
        <w:rPr>
          <w:rFonts w:cs="Arial"/>
          <w:szCs w:val="22"/>
        </w:rPr>
        <w:t>.</w:t>
      </w:r>
      <w:r w:rsidR="00FC0198">
        <w:rPr>
          <w:rFonts w:cs="Arial"/>
          <w:szCs w:val="22"/>
        </w:rPr>
        <w:t xml:space="preserve"> </w:t>
      </w:r>
      <w:r w:rsidR="00452622">
        <w:rPr>
          <w:rFonts w:cs="Arial"/>
          <w:szCs w:val="22"/>
        </w:rPr>
        <w:t xml:space="preserve">Other </w:t>
      </w:r>
      <w:r w:rsidR="00FC0198">
        <w:rPr>
          <w:rFonts w:cs="Arial"/>
          <w:szCs w:val="22"/>
        </w:rPr>
        <w:t xml:space="preserve">factors such as medicine </w:t>
      </w:r>
      <w:r w:rsidR="0002081F" w:rsidRPr="00D84C10">
        <w:rPr>
          <w:rFonts w:cs="Arial"/>
          <w:szCs w:val="22"/>
        </w:rPr>
        <w:t xml:space="preserve">interactions, </w:t>
      </w:r>
      <w:r w:rsidR="00FC0198">
        <w:rPr>
          <w:rFonts w:cs="Arial"/>
          <w:szCs w:val="22"/>
        </w:rPr>
        <w:t>occur</w:t>
      </w:r>
      <w:r w:rsidR="0074201A">
        <w:rPr>
          <w:rFonts w:cs="Arial"/>
          <w:szCs w:val="22"/>
        </w:rPr>
        <w:t>r</w:t>
      </w:r>
      <w:r w:rsidR="00FC0198">
        <w:rPr>
          <w:rFonts w:cs="Arial"/>
          <w:szCs w:val="22"/>
        </w:rPr>
        <w:t xml:space="preserve">ence in various </w:t>
      </w:r>
      <w:r w:rsidR="0002081F" w:rsidRPr="00D84C10">
        <w:rPr>
          <w:rFonts w:cs="Arial"/>
          <w:szCs w:val="22"/>
        </w:rPr>
        <w:t>population</w:t>
      </w:r>
      <w:r w:rsidR="00040B27">
        <w:rPr>
          <w:rFonts w:cs="Arial"/>
          <w:szCs w:val="22"/>
        </w:rPr>
        <w:t>s and</w:t>
      </w:r>
      <w:r w:rsidR="00FC0198">
        <w:rPr>
          <w:rFonts w:cs="Arial"/>
          <w:szCs w:val="22"/>
        </w:rPr>
        <w:t xml:space="preserve"> previous awareness of a signal</w:t>
      </w:r>
      <w:r w:rsidR="00452622">
        <w:rPr>
          <w:rFonts w:cs="Arial"/>
          <w:szCs w:val="22"/>
        </w:rPr>
        <w:t xml:space="preserve"> </w:t>
      </w:r>
      <w:r w:rsidR="005F0869">
        <w:rPr>
          <w:rFonts w:cs="Arial"/>
          <w:szCs w:val="22"/>
        </w:rPr>
        <w:t>should also be considered</w:t>
      </w:r>
      <w:r w:rsidR="00FC0198">
        <w:rPr>
          <w:rFonts w:cs="Arial"/>
          <w:szCs w:val="22"/>
        </w:rPr>
        <w:t>.</w:t>
      </w:r>
    </w:p>
    <w:p w:rsidR="00FC0198" w:rsidRDefault="00FC0198" w:rsidP="0016273A">
      <w:pPr>
        <w:spacing w:line="280" w:lineRule="atLeast"/>
        <w:rPr>
          <w:rFonts w:cs="Arial"/>
          <w:szCs w:val="22"/>
        </w:rPr>
      </w:pPr>
    </w:p>
    <w:p w:rsidR="0002081F" w:rsidRPr="00D84C10" w:rsidRDefault="00FC0198" w:rsidP="0016273A">
      <w:pPr>
        <w:spacing w:line="280" w:lineRule="atLeast"/>
        <w:rPr>
          <w:rFonts w:cs="Arial"/>
          <w:szCs w:val="22"/>
        </w:rPr>
      </w:pPr>
      <w:r>
        <w:rPr>
          <w:rFonts w:cs="Arial"/>
          <w:szCs w:val="22"/>
        </w:rPr>
        <w:t xml:space="preserve">Sponsors should be mindful that where </w:t>
      </w:r>
      <w:r w:rsidR="00452622">
        <w:rPr>
          <w:rFonts w:cs="Arial"/>
          <w:szCs w:val="22"/>
        </w:rPr>
        <w:t xml:space="preserve">the signal </w:t>
      </w:r>
      <w:r>
        <w:rPr>
          <w:rFonts w:cs="Arial"/>
          <w:szCs w:val="22"/>
        </w:rPr>
        <w:t xml:space="preserve">is not able to be </w:t>
      </w:r>
      <w:r w:rsidR="00452622">
        <w:rPr>
          <w:rFonts w:cs="Arial"/>
          <w:szCs w:val="22"/>
        </w:rPr>
        <w:t>validat</w:t>
      </w:r>
      <w:r>
        <w:rPr>
          <w:rFonts w:cs="Arial"/>
          <w:szCs w:val="22"/>
        </w:rPr>
        <w:t>ed, further monitoring may ga</w:t>
      </w:r>
      <w:r w:rsidR="004C166B">
        <w:rPr>
          <w:rFonts w:cs="Arial"/>
          <w:szCs w:val="22"/>
        </w:rPr>
        <w:t>th</w:t>
      </w:r>
      <w:r>
        <w:rPr>
          <w:rFonts w:cs="Arial"/>
          <w:szCs w:val="22"/>
        </w:rPr>
        <w:t xml:space="preserve">er additional data to enable a subsequent analysis to be made. Therefore, tracking </w:t>
      </w:r>
      <w:r w:rsidRPr="00FC0198">
        <w:rPr>
          <w:rFonts w:cs="Arial"/>
          <w:szCs w:val="22"/>
        </w:rPr>
        <w:t xml:space="preserve">systems </w:t>
      </w:r>
      <w:r w:rsidR="00352DA4">
        <w:rPr>
          <w:rFonts w:cs="Arial"/>
          <w:szCs w:val="22"/>
        </w:rPr>
        <w:t xml:space="preserve">should be employed </w:t>
      </w:r>
      <w:r w:rsidRPr="00FC0198">
        <w:rPr>
          <w:rFonts w:cs="Arial"/>
          <w:szCs w:val="22"/>
        </w:rPr>
        <w:t>to capture the outcome of the validation of signals</w:t>
      </w:r>
      <w:r w:rsidR="00452622">
        <w:rPr>
          <w:rFonts w:cs="Arial"/>
          <w:szCs w:val="22"/>
        </w:rPr>
        <w:t>. These systems should</w:t>
      </w:r>
      <w:r w:rsidRPr="00FC0198">
        <w:rPr>
          <w:rFonts w:cs="Arial"/>
          <w:szCs w:val="22"/>
        </w:rPr>
        <w:t xml:space="preserve"> includ</w:t>
      </w:r>
      <w:r w:rsidR="00452622">
        <w:rPr>
          <w:rFonts w:cs="Arial"/>
          <w:szCs w:val="22"/>
        </w:rPr>
        <w:t>e</w:t>
      </w:r>
      <w:r w:rsidRPr="00FC0198">
        <w:rPr>
          <w:rFonts w:cs="Arial"/>
          <w:szCs w:val="22"/>
        </w:rPr>
        <w:t xml:space="preserve"> the reasons why signals were not validated</w:t>
      </w:r>
      <w:r w:rsidR="00040B27">
        <w:rPr>
          <w:rFonts w:cs="Arial"/>
          <w:szCs w:val="22"/>
        </w:rPr>
        <w:t>,</w:t>
      </w:r>
      <w:r w:rsidRPr="00FC0198">
        <w:rPr>
          <w:rFonts w:cs="Arial"/>
          <w:szCs w:val="22"/>
        </w:rPr>
        <w:t xml:space="preserve"> information that would facilitate further retrieval of ICSRs and validation of signals.</w:t>
      </w:r>
    </w:p>
    <w:p w:rsidR="0002081F" w:rsidRDefault="0002081F" w:rsidP="0016273A">
      <w:pPr>
        <w:spacing w:line="280" w:lineRule="atLeast"/>
        <w:rPr>
          <w:rFonts w:cs="Arial"/>
          <w:strike/>
          <w:szCs w:val="22"/>
        </w:rPr>
      </w:pPr>
    </w:p>
    <w:p w:rsidR="0002081F" w:rsidRPr="00352DA4" w:rsidRDefault="00352DA4" w:rsidP="00352DA4">
      <w:pPr>
        <w:pStyle w:val="NoHeading2"/>
        <w:keepNext/>
        <w:spacing w:before="120"/>
        <w:ind w:right="340"/>
        <w:rPr>
          <w:sz w:val="24"/>
          <w:szCs w:val="24"/>
        </w:rPr>
      </w:pPr>
      <w:bookmarkStart w:id="152" w:name="_Toc414346434"/>
      <w:bookmarkStart w:id="153" w:name="_Toc414522823"/>
      <w:r>
        <w:rPr>
          <w:sz w:val="24"/>
          <w:szCs w:val="24"/>
        </w:rPr>
        <w:t>4.2.3</w:t>
      </w:r>
      <w:r>
        <w:rPr>
          <w:sz w:val="24"/>
          <w:szCs w:val="24"/>
        </w:rPr>
        <w:tab/>
      </w:r>
      <w:r w:rsidR="0002081F" w:rsidRPr="00352DA4">
        <w:rPr>
          <w:sz w:val="24"/>
          <w:szCs w:val="24"/>
        </w:rPr>
        <w:t>Signal analysis and prioritisation</w:t>
      </w:r>
      <w:bookmarkEnd w:id="152"/>
      <w:bookmarkEnd w:id="153"/>
    </w:p>
    <w:p w:rsidR="008B0BE1" w:rsidRDefault="008B0BE1" w:rsidP="00352DA4">
      <w:pPr>
        <w:rPr>
          <w:rFonts w:cs="Arial"/>
          <w:szCs w:val="22"/>
        </w:rPr>
      </w:pPr>
    </w:p>
    <w:p w:rsidR="00901E8C" w:rsidRDefault="008B0BE1" w:rsidP="00901E8C">
      <w:pPr>
        <w:rPr>
          <w:rFonts w:cs="Arial"/>
          <w:szCs w:val="22"/>
        </w:rPr>
      </w:pPr>
      <w:r>
        <w:rPr>
          <w:rFonts w:cs="Arial"/>
          <w:szCs w:val="22"/>
        </w:rPr>
        <w:t xml:space="preserve">A key principle of any signal management process is to </w:t>
      </w:r>
      <w:r w:rsidR="00040B27">
        <w:rPr>
          <w:rFonts w:cs="Arial"/>
          <w:szCs w:val="22"/>
        </w:rPr>
        <w:t>ensure</w:t>
      </w:r>
      <w:r>
        <w:rPr>
          <w:rFonts w:cs="Arial"/>
          <w:szCs w:val="22"/>
        </w:rPr>
        <w:t xml:space="preserve"> valid signals with important public health implications </w:t>
      </w:r>
      <w:r w:rsidR="00040B27">
        <w:rPr>
          <w:rFonts w:cs="Arial"/>
          <w:szCs w:val="22"/>
        </w:rPr>
        <w:t>are</w:t>
      </w:r>
      <w:r>
        <w:rPr>
          <w:rFonts w:cs="Arial"/>
          <w:szCs w:val="22"/>
        </w:rPr>
        <w:t xml:space="preserve"> prioritised for </w:t>
      </w:r>
      <w:r w:rsidR="00901E8C">
        <w:rPr>
          <w:rFonts w:cs="Arial"/>
          <w:szCs w:val="22"/>
        </w:rPr>
        <w:t>management</w:t>
      </w:r>
      <w:r w:rsidR="00040B27">
        <w:rPr>
          <w:rFonts w:cs="Arial"/>
          <w:szCs w:val="22"/>
        </w:rPr>
        <w:t>,</w:t>
      </w:r>
      <w:r w:rsidR="00901E8C">
        <w:rPr>
          <w:rFonts w:cs="Arial"/>
          <w:szCs w:val="22"/>
        </w:rPr>
        <w:t xml:space="preserve"> together with a timeframe for action</w:t>
      </w:r>
      <w:r>
        <w:rPr>
          <w:rFonts w:cs="Arial"/>
          <w:szCs w:val="22"/>
        </w:rPr>
        <w:t xml:space="preserve">. </w:t>
      </w:r>
    </w:p>
    <w:p w:rsidR="00901E8C" w:rsidRDefault="00901E8C" w:rsidP="00901E8C">
      <w:pPr>
        <w:rPr>
          <w:rFonts w:cs="Arial"/>
          <w:szCs w:val="22"/>
        </w:rPr>
      </w:pPr>
    </w:p>
    <w:p w:rsidR="006E1632" w:rsidRDefault="008B0BE1" w:rsidP="00901E8C">
      <w:pPr>
        <w:rPr>
          <w:rFonts w:cs="Arial"/>
          <w:szCs w:val="22"/>
        </w:rPr>
      </w:pPr>
      <w:r>
        <w:rPr>
          <w:rFonts w:cs="Arial"/>
          <w:szCs w:val="22"/>
        </w:rPr>
        <w:t xml:space="preserve">A prioritisation process should </w:t>
      </w:r>
      <w:r w:rsidR="005F0869">
        <w:rPr>
          <w:rFonts w:cs="Arial"/>
          <w:szCs w:val="22"/>
        </w:rPr>
        <w:t>assess the</w:t>
      </w:r>
      <w:r w:rsidR="00901E8C">
        <w:rPr>
          <w:rFonts w:cs="Arial"/>
          <w:szCs w:val="22"/>
        </w:rPr>
        <w:t xml:space="preserve"> </w:t>
      </w:r>
      <w:r w:rsidR="00901E8C" w:rsidRPr="00D84C10">
        <w:rPr>
          <w:rFonts w:cs="Arial"/>
          <w:szCs w:val="22"/>
        </w:rPr>
        <w:t xml:space="preserve">strength and consistency of </w:t>
      </w:r>
      <w:r w:rsidR="00901E8C">
        <w:rPr>
          <w:rFonts w:cs="Arial"/>
          <w:szCs w:val="22"/>
        </w:rPr>
        <w:t xml:space="preserve">the </w:t>
      </w:r>
      <w:r w:rsidR="00901E8C" w:rsidRPr="00D84C10">
        <w:rPr>
          <w:rFonts w:cs="Arial"/>
          <w:szCs w:val="22"/>
        </w:rPr>
        <w:t>evidence</w:t>
      </w:r>
      <w:r w:rsidR="00901E8C">
        <w:rPr>
          <w:rFonts w:cs="Arial"/>
          <w:szCs w:val="22"/>
        </w:rPr>
        <w:t xml:space="preserve"> (</w:t>
      </w:r>
      <w:proofErr w:type="spellStart"/>
      <w:r w:rsidR="00901E8C">
        <w:rPr>
          <w:rFonts w:cs="Arial"/>
          <w:szCs w:val="22"/>
        </w:rPr>
        <w:t>ie</w:t>
      </w:r>
      <w:proofErr w:type="spellEnd"/>
      <w:r w:rsidR="00901E8C">
        <w:rPr>
          <w:rFonts w:cs="Arial"/>
          <w:szCs w:val="22"/>
        </w:rPr>
        <w:t>, plausibility)</w:t>
      </w:r>
      <w:r w:rsidR="00901E8C" w:rsidRPr="00D84C10">
        <w:rPr>
          <w:rFonts w:cs="Arial"/>
          <w:szCs w:val="22"/>
        </w:rPr>
        <w:t xml:space="preserve">, </w:t>
      </w:r>
      <w:r w:rsidR="00901E8C">
        <w:rPr>
          <w:rFonts w:cs="Arial"/>
          <w:szCs w:val="22"/>
        </w:rPr>
        <w:t xml:space="preserve">potential </w:t>
      </w:r>
      <w:r w:rsidR="00DF385A" w:rsidRPr="00D84C10">
        <w:rPr>
          <w:rFonts w:cs="Arial"/>
          <w:szCs w:val="22"/>
        </w:rPr>
        <w:t>impact on patients, consequences of treatment discontinuation, clinical context</w:t>
      </w:r>
      <w:r w:rsidR="00901E8C">
        <w:rPr>
          <w:rFonts w:cs="Arial"/>
          <w:szCs w:val="22"/>
        </w:rPr>
        <w:t xml:space="preserve"> of the suspected adverse reaction (</w:t>
      </w:r>
      <w:proofErr w:type="spellStart"/>
      <w:r w:rsidR="00901E8C">
        <w:rPr>
          <w:rFonts w:cs="Arial"/>
          <w:szCs w:val="22"/>
        </w:rPr>
        <w:t>eg</w:t>
      </w:r>
      <w:proofErr w:type="spellEnd"/>
      <w:r w:rsidR="00901E8C">
        <w:rPr>
          <w:rFonts w:cs="Arial"/>
          <w:szCs w:val="22"/>
        </w:rPr>
        <w:t xml:space="preserve">, </w:t>
      </w:r>
      <w:r w:rsidR="00901E8C" w:rsidRPr="00901E8C">
        <w:rPr>
          <w:rFonts w:cs="Arial"/>
          <w:szCs w:val="22"/>
        </w:rPr>
        <w:t>whether the association suggest a clinical syndrome that may include other reactions</w:t>
      </w:r>
      <w:r w:rsidR="00901E8C">
        <w:rPr>
          <w:rFonts w:cs="Arial"/>
          <w:szCs w:val="22"/>
        </w:rPr>
        <w:t>)</w:t>
      </w:r>
      <w:r w:rsidR="00DF385A" w:rsidRPr="00D84C10">
        <w:rPr>
          <w:rFonts w:cs="Arial"/>
          <w:szCs w:val="22"/>
        </w:rPr>
        <w:t>, public health impact, increased frequency or severity</w:t>
      </w:r>
      <w:r w:rsidR="00901E8C">
        <w:rPr>
          <w:rFonts w:cs="Arial"/>
          <w:szCs w:val="22"/>
        </w:rPr>
        <w:t xml:space="preserve"> of a known adverse reaction</w:t>
      </w:r>
      <w:r w:rsidR="00040B27">
        <w:rPr>
          <w:rFonts w:cs="Arial"/>
          <w:szCs w:val="22"/>
        </w:rPr>
        <w:t xml:space="preserve"> and</w:t>
      </w:r>
      <w:r w:rsidR="00DF385A" w:rsidRPr="00D84C10">
        <w:rPr>
          <w:rFonts w:cs="Arial"/>
          <w:szCs w:val="22"/>
        </w:rPr>
        <w:t xml:space="preserve"> </w:t>
      </w:r>
      <w:r w:rsidR="00901E8C">
        <w:rPr>
          <w:rFonts w:cs="Arial"/>
          <w:szCs w:val="22"/>
        </w:rPr>
        <w:t>stage of the product life cycle.</w:t>
      </w:r>
    </w:p>
    <w:p w:rsidR="00901E8C" w:rsidRDefault="00901E8C" w:rsidP="00901E8C">
      <w:pPr>
        <w:rPr>
          <w:rFonts w:cs="Arial"/>
          <w:szCs w:val="22"/>
        </w:rPr>
      </w:pPr>
    </w:p>
    <w:p w:rsidR="00901E8C" w:rsidRPr="00D84C10" w:rsidRDefault="00901E8C" w:rsidP="00901E8C">
      <w:pPr>
        <w:rPr>
          <w:rFonts w:cs="Arial"/>
          <w:szCs w:val="22"/>
        </w:rPr>
      </w:pPr>
      <w:r>
        <w:rPr>
          <w:rFonts w:cs="Arial"/>
          <w:szCs w:val="22"/>
        </w:rPr>
        <w:t>Priority may also be considered for medicines that may have high media or stakeholder interest.</w:t>
      </w:r>
    </w:p>
    <w:p w:rsidR="006E1632" w:rsidRPr="009F7749" w:rsidRDefault="006E1632" w:rsidP="0016273A">
      <w:pPr>
        <w:spacing w:line="280" w:lineRule="atLeast"/>
        <w:rPr>
          <w:rFonts w:cs="Arial"/>
          <w:strike/>
          <w:szCs w:val="22"/>
        </w:rPr>
      </w:pPr>
    </w:p>
    <w:p w:rsidR="00DF385A" w:rsidRPr="00352DA4" w:rsidRDefault="00352DA4" w:rsidP="00352DA4">
      <w:pPr>
        <w:pStyle w:val="NoHeading2"/>
        <w:keepNext/>
        <w:spacing w:before="120"/>
        <w:ind w:right="340"/>
        <w:rPr>
          <w:sz w:val="24"/>
          <w:szCs w:val="24"/>
        </w:rPr>
      </w:pPr>
      <w:bookmarkStart w:id="154" w:name="_Toc414346435"/>
      <w:bookmarkStart w:id="155" w:name="_Toc414522824"/>
      <w:r w:rsidRPr="00352DA4">
        <w:rPr>
          <w:sz w:val="24"/>
          <w:szCs w:val="24"/>
        </w:rPr>
        <w:t>4.2.4</w:t>
      </w:r>
      <w:r w:rsidRPr="00352DA4">
        <w:rPr>
          <w:sz w:val="24"/>
          <w:szCs w:val="24"/>
        </w:rPr>
        <w:tab/>
      </w:r>
      <w:r w:rsidR="00DF385A" w:rsidRPr="00352DA4">
        <w:rPr>
          <w:sz w:val="24"/>
          <w:szCs w:val="24"/>
        </w:rPr>
        <w:t>Signal assessment</w:t>
      </w:r>
      <w:bookmarkEnd w:id="154"/>
      <w:bookmarkEnd w:id="155"/>
    </w:p>
    <w:p w:rsidR="00352DA4" w:rsidRDefault="00352DA4" w:rsidP="00352DA4">
      <w:pPr>
        <w:rPr>
          <w:rFonts w:cs="Arial"/>
          <w:szCs w:val="22"/>
        </w:rPr>
      </w:pPr>
    </w:p>
    <w:p w:rsidR="00A56A9C" w:rsidRDefault="00D0130E" w:rsidP="0074201A">
      <w:pPr>
        <w:spacing w:line="280" w:lineRule="atLeast"/>
        <w:rPr>
          <w:rFonts w:cs="Arial"/>
          <w:szCs w:val="22"/>
        </w:rPr>
      </w:pPr>
      <w:r>
        <w:rPr>
          <w:rFonts w:cs="Arial"/>
          <w:szCs w:val="22"/>
        </w:rPr>
        <w:t>Signal assessment is p</w:t>
      </w:r>
      <w:r w:rsidR="00DF385A" w:rsidRPr="00D84C10">
        <w:rPr>
          <w:rFonts w:cs="Arial"/>
          <w:szCs w:val="22"/>
        </w:rPr>
        <w:t>erformed to further evaluate a validated signal</w:t>
      </w:r>
      <w:r>
        <w:rPr>
          <w:rFonts w:cs="Arial"/>
          <w:szCs w:val="22"/>
        </w:rPr>
        <w:t xml:space="preserve"> and to </w:t>
      </w:r>
      <w:r w:rsidR="00A56A9C">
        <w:rPr>
          <w:rFonts w:cs="Arial"/>
          <w:szCs w:val="22"/>
        </w:rPr>
        <w:t xml:space="preserve">determine if there is a </w:t>
      </w:r>
      <w:r w:rsidR="0074201A" w:rsidRPr="0074201A">
        <w:rPr>
          <w:rFonts w:cs="Arial"/>
          <w:szCs w:val="22"/>
        </w:rPr>
        <w:t xml:space="preserve">need for additional data collection or for any regulatory action. </w:t>
      </w:r>
    </w:p>
    <w:p w:rsidR="00A56A9C" w:rsidRDefault="00A56A9C" w:rsidP="0074201A">
      <w:pPr>
        <w:spacing w:line="280" w:lineRule="atLeast"/>
        <w:rPr>
          <w:rFonts w:cs="Arial"/>
          <w:szCs w:val="22"/>
        </w:rPr>
      </w:pPr>
    </w:p>
    <w:p w:rsidR="0074201A" w:rsidRDefault="00A25480" w:rsidP="0074201A">
      <w:pPr>
        <w:spacing w:line="280" w:lineRule="atLeast"/>
        <w:rPr>
          <w:rFonts w:cs="Arial"/>
          <w:szCs w:val="22"/>
        </w:rPr>
      </w:pPr>
      <w:r>
        <w:rPr>
          <w:rFonts w:cs="Arial"/>
          <w:szCs w:val="22"/>
        </w:rPr>
        <w:t>A</w:t>
      </w:r>
      <w:r w:rsidR="0082521E">
        <w:rPr>
          <w:rFonts w:cs="Arial"/>
          <w:szCs w:val="22"/>
        </w:rPr>
        <w:t>n</w:t>
      </w:r>
      <w:r w:rsidR="00A56A9C">
        <w:rPr>
          <w:rFonts w:cs="Arial"/>
          <w:szCs w:val="22"/>
        </w:rPr>
        <w:t xml:space="preserve"> </w:t>
      </w:r>
      <w:r w:rsidR="0074201A" w:rsidRPr="0074201A">
        <w:rPr>
          <w:rFonts w:cs="Arial"/>
          <w:szCs w:val="22"/>
        </w:rPr>
        <w:t xml:space="preserve">assessment </w:t>
      </w:r>
      <w:r w:rsidR="0082521E">
        <w:rPr>
          <w:rFonts w:cs="Arial"/>
          <w:szCs w:val="22"/>
        </w:rPr>
        <w:t xml:space="preserve">should be as complete </w:t>
      </w:r>
      <w:r w:rsidR="00A56A9C">
        <w:rPr>
          <w:rFonts w:cs="Arial"/>
          <w:szCs w:val="22"/>
        </w:rPr>
        <w:t xml:space="preserve">as possible </w:t>
      </w:r>
      <w:r w:rsidR="0082521E">
        <w:rPr>
          <w:rFonts w:cs="Arial"/>
          <w:szCs w:val="22"/>
        </w:rPr>
        <w:t xml:space="preserve">and </w:t>
      </w:r>
      <w:r w:rsidR="00A56A9C">
        <w:rPr>
          <w:rFonts w:cs="Arial"/>
          <w:szCs w:val="22"/>
        </w:rPr>
        <w:t xml:space="preserve">should </w:t>
      </w:r>
      <w:r w:rsidR="0082521E">
        <w:rPr>
          <w:rFonts w:cs="Arial"/>
          <w:szCs w:val="22"/>
        </w:rPr>
        <w:t xml:space="preserve">include </w:t>
      </w:r>
      <w:r>
        <w:rPr>
          <w:rFonts w:cs="Arial"/>
          <w:szCs w:val="22"/>
        </w:rPr>
        <w:t xml:space="preserve">all </w:t>
      </w:r>
      <w:r w:rsidR="0074201A" w:rsidRPr="0074201A">
        <w:rPr>
          <w:rFonts w:cs="Arial"/>
          <w:szCs w:val="22"/>
        </w:rPr>
        <w:t xml:space="preserve">available </w:t>
      </w:r>
      <w:r w:rsidR="00A56A9C">
        <w:rPr>
          <w:rFonts w:cs="Arial"/>
          <w:szCs w:val="22"/>
        </w:rPr>
        <w:t xml:space="preserve">information from </w:t>
      </w:r>
      <w:r w:rsidR="0074201A" w:rsidRPr="0074201A">
        <w:rPr>
          <w:rFonts w:cs="Arial"/>
          <w:szCs w:val="22"/>
        </w:rPr>
        <w:t>pharmacological, non-clinical and clinical data</w:t>
      </w:r>
      <w:r>
        <w:rPr>
          <w:rFonts w:cs="Arial"/>
          <w:szCs w:val="22"/>
        </w:rPr>
        <w:t>,</w:t>
      </w:r>
      <w:r w:rsidR="0074201A" w:rsidRPr="0074201A">
        <w:rPr>
          <w:rFonts w:cs="Arial"/>
          <w:szCs w:val="22"/>
        </w:rPr>
        <w:t xml:space="preserve"> and other sources</w:t>
      </w:r>
      <w:r w:rsidR="005F0869">
        <w:rPr>
          <w:rFonts w:cs="Arial"/>
          <w:szCs w:val="22"/>
        </w:rPr>
        <w:t xml:space="preserve">. </w:t>
      </w:r>
      <w:r w:rsidR="0082521E">
        <w:rPr>
          <w:rFonts w:cs="Arial"/>
          <w:szCs w:val="22"/>
        </w:rPr>
        <w:t>I</w:t>
      </w:r>
      <w:r w:rsidR="00A56A9C">
        <w:rPr>
          <w:rFonts w:cs="Arial"/>
          <w:szCs w:val="22"/>
        </w:rPr>
        <w:t xml:space="preserve">nformation </w:t>
      </w:r>
      <w:r w:rsidR="0082521E">
        <w:rPr>
          <w:rFonts w:cs="Arial"/>
          <w:szCs w:val="22"/>
        </w:rPr>
        <w:t xml:space="preserve">could include </w:t>
      </w:r>
      <w:r w:rsidR="005F0869">
        <w:rPr>
          <w:rFonts w:cs="Arial"/>
          <w:szCs w:val="22"/>
        </w:rPr>
        <w:t xml:space="preserve">sources </w:t>
      </w:r>
      <w:r>
        <w:rPr>
          <w:rFonts w:cs="Arial"/>
          <w:szCs w:val="22"/>
        </w:rPr>
        <w:t xml:space="preserve">such as </w:t>
      </w:r>
      <w:r w:rsidR="0074201A" w:rsidRPr="0074201A">
        <w:rPr>
          <w:rFonts w:cs="Arial"/>
          <w:szCs w:val="22"/>
        </w:rPr>
        <w:t>the application dossier, literature articles, spontaneo</w:t>
      </w:r>
      <w:r w:rsidR="00364914">
        <w:rPr>
          <w:rFonts w:cs="Arial"/>
          <w:szCs w:val="22"/>
        </w:rPr>
        <w:t>us reports, expert consultation</w:t>
      </w:r>
      <w:r w:rsidR="0074201A" w:rsidRPr="0074201A">
        <w:rPr>
          <w:rFonts w:cs="Arial"/>
          <w:szCs w:val="22"/>
        </w:rPr>
        <w:t xml:space="preserve"> and information held by </w:t>
      </w:r>
      <w:r w:rsidR="005F0869">
        <w:rPr>
          <w:rFonts w:cs="Arial"/>
          <w:szCs w:val="22"/>
        </w:rPr>
        <w:t>sponsors</w:t>
      </w:r>
      <w:r w:rsidR="0074201A" w:rsidRPr="0074201A">
        <w:rPr>
          <w:rFonts w:cs="Arial"/>
          <w:szCs w:val="22"/>
        </w:rPr>
        <w:t xml:space="preserve"> </w:t>
      </w:r>
      <w:r w:rsidR="00040B27">
        <w:rPr>
          <w:rFonts w:cs="Arial"/>
          <w:szCs w:val="22"/>
        </w:rPr>
        <w:t>or</w:t>
      </w:r>
      <w:r w:rsidR="0074201A" w:rsidRPr="0074201A">
        <w:rPr>
          <w:rFonts w:cs="Arial"/>
          <w:szCs w:val="22"/>
        </w:rPr>
        <w:t xml:space="preserve"> </w:t>
      </w:r>
      <w:r w:rsidR="005F0869">
        <w:rPr>
          <w:rFonts w:cs="Arial"/>
          <w:szCs w:val="22"/>
        </w:rPr>
        <w:t>the regulator</w:t>
      </w:r>
      <w:r w:rsidR="0074201A" w:rsidRPr="0074201A">
        <w:rPr>
          <w:rFonts w:cs="Arial"/>
          <w:szCs w:val="22"/>
        </w:rPr>
        <w:t xml:space="preserve">. </w:t>
      </w:r>
      <w:r w:rsidR="00A56A9C" w:rsidRPr="0074201A">
        <w:rPr>
          <w:rFonts w:cs="Arial"/>
          <w:szCs w:val="22"/>
        </w:rPr>
        <w:t>The search for information to assess the significance of a signal may also need to be extended to other products of the class and to other adverse reactions</w:t>
      </w:r>
      <w:r w:rsidR="00A56A9C">
        <w:rPr>
          <w:rFonts w:cs="Arial"/>
          <w:szCs w:val="22"/>
        </w:rPr>
        <w:t xml:space="preserve"> (</w:t>
      </w:r>
      <w:proofErr w:type="spellStart"/>
      <w:r w:rsidR="00A56A9C">
        <w:rPr>
          <w:rFonts w:cs="Arial"/>
          <w:szCs w:val="22"/>
        </w:rPr>
        <w:t>ie</w:t>
      </w:r>
      <w:proofErr w:type="spellEnd"/>
      <w:r w:rsidR="00A56A9C">
        <w:rPr>
          <w:rFonts w:cs="Arial"/>
          <w:szCs w:val="22"/>
        </w:rPr>
        <w:t>, a broader level assessment).</w:t>
      </w:r>
    </w:p>
    <w:p w:rsidR="0074201A" w:rsidRDefault="0074201A" w:rsidP="0074201A">
      <w:pPr>
        <w:spacing w:line="280" w:lineRule="atLeast"/>
        <w:rPr>
          <w:rFonts w:cs="Arial"/>
          <w:szCs w:val="22"/>
        </w:rPr>
      </w:pPr>
    </w:p>
    <w:p w:rsidR="00A56A9C" w:rsidRDefault="00A56A9C" w:rsidP="00A56A9C">
      <w:pPr>
        <w:spacing w:line="280" w:lineRule="atLeast"/>
        <w:rPr>
          <w:rFonts w:cs="Arial"/>
          <w:szCs w:val="22"/>
        </w:rPr>
      </w:pPr>
      <w:r>
        <w:rPr>
          <w:rFonts w:cs="Arial"/>
          <w:szCs w:val="22"/>
        </w:rPr>
        <w:t xml:space="preserve">Sponsors are reminded that </w:t>
      </w:r>
      <w:r w:rsidR="003F4EE4" w:rsidRPr="0074201A">
        <w:rPr>
          <w:rFonts w:cs="Arial"/>
          <w:szCs w:val="22"/>
        </w:rPr>
        <w:t>if the</w:t>
      </w:r>
      <w:r w:rsidR="003F4EE4">
        <w:rPr>
          <w:rFonts w:cs="Arial"/>
          <w:szCs w:val="22"/>
        </w:rPr>
        <w:t>ir</w:t>
      </w:r>
      <w:r w:rsidR="003F4EE4" w:rsidRPr="0074201A">
        <w:rPr>
          <w:rFonts w:cs="Arial"/>
          <w:szCs w:val="22"/>
        </w:rPr>
        <w:t xml:space="preserve"> </w:t>
      </w:r>
      <w:r w:rsidR="003F4EE4">
        <w:rPr>
          <w:rFonts w:cs="Arial"/>
          <w:szCs w:val="22"/>
        </w:rPr>
        <w:t xml:space="preserve">assessment at any stage </w:t>
      </w:r>
      <w:r w:rsidR="003F4EE4" w:rsidRPr="0074201A">
        <w:rPr>
          <w:rFonts w:cs="Arial"/>
          <w:szCs w:val="22"/>
        </w:rPr>
        <w:t xml:space="preserve">supports the conclusion that a potential risk </w:t>
      </w:r>
      <w:r w:rsidR="003F4EE4">
        <w:rPr>
          <w:rFonts w:cs="Arial"/>
          <w:szCs w:val="22"/>
        </w:rPr>
        <w:t xml:space="preserve">is present, </w:t>
      </w:r>
      <w:r>
        <w:rPr>
          <w:rFonts w:cs="Arial"/>
          <w:szCs w:val="22"/>
        </w:rPr>
        <w:t xml:space="preserve">they </w:t>
      </w:r>
      <w:r w:rsidR="000B3DF8">
        <w:rPr>
          <w:rFonts w:cs="Arial"/>
          <w:szCs w:val="22"/>
        </w:rPr>
        <w:t>should</w:t>
      </w:r>
      <w:r>
        <w:rPr>
          <w:rFonts w:cs="Arial"/>
          <w:szCs w:val="22"/>
        </w:rPr>
        <w:t xml:space="preserve"> take the appropriate action </w:t>
      </w:r>
      <w:r w:rsidR="003F4EE4">
        <w:rPr>
          <w:rFonts w:cs="Arial"/>
          <w:szCs w:val="22"/>
        </w:rPr>
        <w:t>to prevent or minimise the risk</w:t>
      </w:r>
      <w:r w:rsidRPr="0074201A">
        <w:rPr>
          <w:rFonts w:cs="Arial"/>
          <w:szCs w:val="22"/>
        </w:rPr>
        <w:t xml:space="preserve"> in a timely manner.</w:t>
      </w:r>
    </w:p>
    <w:p w:rsidR="00A56A9C" w:rsidRDefault="00A56A9C" w:rsidP="0074201A">
      <w:pPr>
        <w:spacing w:line="280" w:lineRule="atLeast"/>
        <w:rPr>
          <w:rFonts w:cs="Arial"/>
          <w:szCs w:val="22"/>
        </w:rPr>
      </w:pPr>
    </w:p>
    <w:p w:rsidR="009F7749" w:rsidRDefault="009F7749" w:rsidP="0016273A">
      <w:pPr>
        <w:spacing w:line="280" w:lineRule="atLeast"/>
        <w:rPr>
          <w:rFonts w:cs="Arial"/>
          <w:szCs w:val="22"/>
        </w:rPr>
      </w:pPr>
    </w:p>
    <w:p w:rsidR="00E562C9" w:rsidRPr="00CE62E2" w:rsidRDefault="00CE5DED" w:rsidP="00E562C9">
      <w:pPr>
        <w:pStyle w:val="NoHeading2"/>
        <w:keepNext/>
        <w:spacing w:before="120"/>
        <w:ind w:right="340"/>
      </w:pPr>
      <w:bookmarkStart w:id="156" w:name="_Toc414346436"/>
      <w:bookmarkStart w:id="157" w:name="_Toc414522825"/>
      <w:r w:rsidRPr="00CE62E2">
        <w:t>4</w:t>
      </w:r>
      <w:r w:rsidR="00A863DB" w:rsidRPr="00CE62E2">
        <w:t>.3</w:t>
      </w:r>
      <w:r w:rsidR="00A863DB" w:rsidRPr="00CE62E2">
        <w:tab/>
      </w:r>
      <w:r w:rsidR="00E562C9" w:rsidRPr="00CE62E2">
        <w:t>Outcomes of signal management process</w:t>
      </w:r>
      <w:bookmarkEnd w:id="156"/>
      <w:bookmarkEnd w:id="157"/>
    </w:p>
    <w:p w:rsidR="00E562C9" w:rsidRDefault="00E562C9" w:rsidP="0016273A">
      <w:pPr>
        <w:spacing w:line="280" w:lineRule="atLeast"/>
        <w:rPr>
          <w:rFonts w:cs="Arial"/>
          <w:szCs w:val="22"/>
        </w:rPr>
      </w:pPr>
    </w:p>
    <w:p w:rsidR="009F7749" w:rsidRDefault="009F7749" w:rsidP="0016273A">
      <w:pPr>
        <w:spacing w:line="280" w:lineRule="atLeast"/>
        <w:rPr>
          <w:rFonts w:cs="Arial"/>
          <w:szCs w:val="22"/>
        </w:rPr>
      </w:pPr>
      <w:r>
        <w:rPr>
          <w:rFonts w:cs="Arial"/>
          <w:szCs w:val="22"/>
        </w:rPr>
        <w:t>Following the signal management process</w:t>
      </w:r>
      <w:r w:rsidR="00D34417">
        <w:rPr>
          <w:rFonts w:cs="Arial"/>
          <w:szCs w:val="22"/>
        </w:rPr>
        <w:t>,</w:t>
      </w:r>
      <w:r>
        <w:rPr>
          <w:rFonts w:cs="Arial"/>
          <w:szCs w:val="22"/>
        </w:rPr>
        <w:t xml:space="preserve"> a </w:t>
      </w:r>
      <w:r w:rsidR="0074201A">
        <w:rPr>
          <w:rFonts w:cs="Arial"/>
          <w:szCs w:val="22"/>
        </w:rPr>
        <w:t>recommendation</w:t>
      </w:r>
      <w:r>
        <w:rPr>
          <w:rFonts w:cs="Arial"/>
          <w:szCs w:val="22"/>
        </w:rPr>
        <w:t xml:space="preserve"> may be </w:t>
      </w:r>
      <w:r w:rsidR="00B236CA">
        <w:rPr>
          <w:rFonts w:cs="Arial"/>
          <w:szCs w:val="22"/>
        </w:rPr>
        <w:t>made</w:t>
      </w:r>
      <w:r>
        <w:rPr>
          <w:rFonts w:cs="Arial"/>
          <w:szCs w:val="22"/>
        </w:rPr>
        <w:t xml:space="preserve"> </w:t>
      </w:r>
      <w:r w:rsidR="0074201A">
        <w:rPr>
          <w:rFonts w:cs="Arial"/>
          <w:szCs w:val="22"/>
        </w:rPr>
        <w:t xml:space="preserve">for an appropriate </w:t>
      </w:r>
      <w:r>
        <w:rPr>
          <w:rFonts w:cs="Arial"/>
          <w:szCs w:val="22"/>
        </w:rPr>
        <w:t>course of action</w:t>
      </w:r>
      <w:r w:rsidR="0074201A">
        <w:rPr>
          <w:rFonts w:cs="Arial"/>
          <w:szCs w:val="22"/>
        </w:rPr>
        <w:t xml:space="preserve"> such as</w:t>
      </w:r>
      <w:r>
        <w:rPr>
          <w:rFonts w:cs="Arial"/>
          <w:szCs w:val="22"/>
        </w:rPr>
        <w:t>:</w:t>
      </w:r>
    </w:p>
    <w:p w:rsidR="0011679A" w:rsidRPr="0011679A" w:rsidRDefault="000A4530" w:rsidP="0011679A">
      <w:pPr>
        <w:pStyle w:val="ListBullet"/>
        <w:spacing w:before="120" w:after="120"/>
        <w:ind w:left="714" w:hanging="357"/>
      </w:pPr>
      <w:r>
        <w:t>n</w:t>
      </w:r>
      <w:r w:rsidR="0011679A" w:rsidRPr="009F7749">
        <w:t>o further action</w:t>
      </w:r>
      <w:r w:rsidR="0011679A">
        <w:t xml:space="preserve"> considered to be necessary</w:t>
      </w:r>
    </w:p>
    <w:p w:rsidR="005F0869" w:rsidRDefault="000A4530" w:rsidP="005F0869">
      <w:pPr>
        <w:pStyle w:val="ListBullet"/>
        <w:spacing w:before="120" w:after="120"/>
        <w:ind w:left="714" w:hanging="357"/>
      </w:pPr>
      <w:r>
        <w:t>a</w:t>
      </w:r>
      <w:r w:rsidR="005F0869">
        <w:t xml:space="preserve"> </w:t>
      </w:r>
      <w:r w:rsidR="005F0869" w:rsidRPr="00B236CA">
        <w:t>periodic review</w:t>
      </w:r>
      <w:r w:rsidR="005F0869">
        <w:t xml:space="preserve"> of the signal</w:t>
      </w:r>
    </w:p>
    <w:p w:rsidR="005F0869" w:rsidRPr="00B236CA" w:rsidRDefault="000A4530" w:rsidP="005F0869">
      <w:pPr>
        <w:pStyle w:val="ListBullet"/>
        <w:spacing w:before="120" w:after="120"/>
        <w:ind w:left="714" w:hanging="357"/>
      </w:pPr>
      <w:r>
        <w:t>r</w:t>
      </w:r>
      <w:r w:rsidR="005F0869">
        <w:t>equesting a</w:t>
      </w:r>
      <w:r w:rsidR="005F0869" w:rsidRPr="00B236CA">
        <w:t xml:space="preserve">dditional </w:t>
      </w:r>
      <w:r w:rsidR="005F0869">
        <w:t>information to confirm plausible links</w:t>
      </w:r>
    </w:p>
    <w:p w:rsidR="005F0869" w:rsidRPr="00B236CA" w:rsidRDefault="000A4530" w:rsidP="005F0869">
      <w:pPr>
        <w:pStyle w:val="ListBullet"/>
        <w:spacing w:before="120" w:after="120"/>
        <w:ind w:left="714" w:hanging="357"/>
      </w:pPr>
      <w:r>
        <w:t>p</w:t>
      </w:r>
      <w:r w:rsidR="005F0869">
        <w:t>ost-market safety studies</w:t>
      </w:r>
    </w:p>
    <w:p w:rsidR="005F0869" w:rsidRDefault="000A4530" w:rsidP="005F0869">
      <w:pPr>
        <w:pStyle w:val="ListBullet"/>
        <w:spacing w:before="120" w:after="120"/>
        <w:ind w:left="714" w:hanging="357"/>
      </w:pPr>
      <w:r>
        <w:t>u</w:t>
      </w:r>
      <w:r w:rsidR="005F0869">
        <w:t xml:space="preserve">pdate of product safety information </w:t>
      </w:r>
    </w:p>
    <w:p w:rsidR="0074201A" w:rsidRPr="00B236CA" w:rsidRDefault="000A4530" w:rsidP="0074201A">
      <w:pPr>
        <w:pStyle w:val="ListBullet"/>
        <w:spacing w:before="120" w:after="120"/>
        <w:ind w:left="714" w:hanging="357"/>
      </w:pPr>
      <w:proofErr w:type="gramStart"/>
      <w:r>
        <w:t>i</w:t>
      </w:r>
      <w:r w:rsidR="0074201A">
        <w:t>mmediate</w:t>
      </w:r>
      <w:proofErr w:type="gramEnd"/>
      <w:r w:rsidR="0074201A">
        <w:t xml:space="preserve"> measures</w:t>
      </w:r>
      <w:r w:rsidR="0011679A">
        <w:t xml:space="preserve"> </w:t>
      </w:r>
      <w:r w:rsidR="00BB00F2">
        <w:t>(</w:t>
      </w:r>
      <w:r w:rsidR="0011679A">
        <w:t>temporary or otherwise</w:t>
      </w:r>
      <w:r w:rsidR="00BB00F2">
        <w:t>)</w:t>
      </w:r>
      <w:r w:rsidR="0074201A">
        <w:t xml:space="preserve"> including </w:t>
      </w:r>
      <w:r w:rsidR="00BB00F2">
        <w:t>voluntary suspension</w:t>
      </w:r>
      <w:r w:rsidR="00D34417">
        <w:t xml:space="preserve"> of distribution by the sponsor,</w:t>
      </w:r>
      <w:r w:rsidR="00D34417" w:rsidRPr="00B236CA">
        <w:t xml:space="preserve"> </w:t>
      </w:r>
      <w:r w:rsidR="00D34417">
        <w:t xml:space="preserve">or the possibility of </w:t>
      </w:r>
      <w:r w:rsidR="00BB00F2">
        <w:t xml:space="preserve">imposed </w:t>
      </w:r>
      <w:r w:rsidR="0074201A" w:rsidRPr="00B236CA">
        <w:t>suspension</w:t>
      </w:r>
      <w:r w:rsidR="00D34417">
        <w:t xml:space="preserve"> or withdrawal of </w:t>
      </w:r>
      <w:r w:rsidR="0074201A">
        <w:t>consent</w:t>
      </w:r>
      <w:r w:rsidR="005F0869">
        <w:t>.</w:t>
      </w:r>
    </w:p>
    <w:p w:rsidR="00DF385A" w:rsidRDefault="00DF385A" w:rsidP="0016273A">
      <w:pPr>
        <w:spacing w:line="280" w:lineRule="atLeast"/>
        <w:rPr>
          <w:rFonts w:cs="Arial"/>
          <w:szCs w:val="22"/>
        </w:rPr>
      </w:pPr>
    </w:p>
    <w:p w:rsidR="0011679A" w:rsidRDefault="0011679A" w:rsidP="0016273A">
      <w:pPr>
        <w:spacing w:line="280" w:lineRule="atLeast"/>
        <w:rPr>
          <w:rFonts w:cs="Arial"/>
          <w:szCs w:val="22"/>
        </w:rPr>
      </w:pPr>
      <w:r>
        <w:rPr>
          <w:rFonts w:cs="Arial"/>
          <w:szCs w:val="22"/>
        </w:rPr>
        <w:t xml:space="preserve">An appropriate timeframe </w:t>
      </w:r>
      <w:r w:rsidR="005F0869">
        <w:rPr>
          <w:rFonts w:cs="Arial"/>
          <w:szCs w:val="22"/>
        </w:rPr>
        <w:t>should be proposed</w:t>
      </w:r>
      <w:r>
        <w:rPr>
          <w:rFonts w:cs="Arial"/>
          <w:szCs w:val="22"/>
        </w:rPr>
        <w:t xml:space="preserve"> for the initiation or completion of the action, including requirements for the provision of progress reports and interim results. </w:t>
      </w:r>
    </w:p>
    <w:p w:rsidR="0000483E" w:rsidRDefault="0000483E" w:rsidP="0016273A">
      <w:pPr>
        <w:spacing w:line="280" w:lineRule="atLeast"/>
        <w:rPr>
          <w:rFonts w:cs="Arial"/>
          <w:szCs w:val="22"/>
        </w:rPr>
      </w:pPr>
    </w:p>
    <w:p w:rsidR="0000483E" w:rsidRDefault="0000483E" w:rsidP="0016273A">
      <w:pPr>
        <w:spacing w:line="280" w:lineRule="atLeast"/>
        <w:rPr>
          <w:rFonts w:cs="Arial"/>
          <w:szCs w:val="22"/>
        </w:rPr>
      </w:pPr>
    </w:p>
    <w:p w:rsidR="004C166B" w:rsidRPr="00CE62E2" w:rsidRDefault="004C166B" w:rsidP="004C166B">
      <w:pPr>
        <w:pStyle w:val="NoHeading2"/>
        <w:keepNext/>
        <w:spacing w:before="120"/>
        <w:ind w:right="340"/>
      </w:pPr>
      <w:bookmarkStart w:id="158" w:name="_Toc414346437"/>
      <w:bookmarkStart w:id="159" w:name="_Toc414522826"/>
      <w:r w:rsidRPr="00CE62E2">
        <w:t>4.4</w:t>
      </w:r>
      <w:r w:rsidRPr="00CE62E2">
        <w:tab/>
        <w:t xml:space="preserve">Quality </w:t>
      </w:r>
      <w:r w:rsidR="008226C8" w:rsidRPr="00CE62E2">
        <w:t>requirements</w:t>
      </w:r>
      <w:bookmarkEnd w:id="158"/>
      <w:bookmarkEnd w:id="159"/>
    </w:p>
    <w:p w:rsidR="004C166B" w:rsidRDefault="004C166B" w:rsidP="0016273A">
      <w:pPr>
        <w:spacing w:line="280" w:lineRule="atLeast"/>
        <w:rPr>
          <w:rFonts w:cs="Arial"/>
          <w:szCs w:val="22"/>
        </w:rPr>
      </w:pPr>
    </w:p>
    <w:p w:rsidR="008226C8" w:rsidRDefault="008226C8" w:rsidP="008226C8">
      <w:pPr>
        <w:spacing w:line="280" w:lineRule="atLeast"/>
        <w:rPr>
          <w:rFonts w:cs="Arial"/>
          <w:szCs w:val="22"/>
        </w:rPr>
      </w:pPr>
      <w:r>
        <w:rPr>
          <w:rFonts w:cs="Arial"/>
          <w:szCs w:val="22"/>
        </w:rPr>
        <w:t>Sponsors are encouraged to build</w:t>
      </w:r>
      <w:r w:rsidR="005F0869">
        <w:rPr>
          <w:rFonts w:cs="Arial"/>
          <w:szCs w:val="22"/>
        </w:rPr>
        <w:t xml:space="preserve"> quality system</w:t>
      </w:r>
      <w:r>
        <w:rPr>
          <w:rFonts w:cs="Arial"/>
          <w:szCs w:val="22"/>
        </w:rPr>
        <w:t xml:space="preserve"> requirements into their signal management processes. This allows clear descriptions of </w:t>
      </w:r>
      <w:r w:rsidR="00D34417">
        <w:rPr>
          <w:rFonts w:cs="Arial"/>
          <w:szCs w:val="22"/>
        </w:rPr>
        <w:t xml:space="preserve">the </w:t>
      </w:r>
      <w:r>
        <w:rPr>
          <w:rFonts w:cs="Arial"/>
          <w:szCs w:val="22"/>
        </w:rPr>
        <w:t xml:space="preserve">tasks required, the roles, responsibilities and expertise of personnel, enables system improvement, and facilitates the recording, tracking, and documentation of </w:t>
      </w:r>
      <w:r w:rsidR="004C166B">
        <w:rPr>
          <w:rFonts w:cs="Arial"/>
          <w:szCs w:val="22"/>
        </w:rPr>
        <w:t>a</w:t>
      </w:r>
      <w:r w:rsidR="004C166B" w:rsidRPr="004C166B">
        <w:rPr>
          <w:rFonts w:cs="Arial"/>
          <w:szCs w:val="22"/>
        </w:rPr>
        <w:t xml:space="preserve">ll validation, prioritisation, assessment, timelines, decisions, actions, plans, reporting </w:t>
      </w:r>
      <w:r>
        <w:rPr>
          <w:rFonts w:cs="Arial"/>
          <w:szCs w:val="22"/>
        </w:rPr>
        <w:t xml:space="preserve">and </w:t>
      </w:r>
      <w:r w:rsidR="004C166B" w:rsidRPr="004C166B">
        <w:rPr>
          <w:rFonts w:cs="Arial"/>
          <w:szCs w:val="22"/>
        </w:rPr>
        <w:t xml:space="preserve">all other key steps. </w:t>
      </w:r>
    </w:p>
    <w:p w:rsidR="008226C8" w:rsidRDefault="008226C8" w:rsidP="008226C8">
      <w:pPr>
        <w:spacing w:line="280" w:lineRule="atLeast"/>
        <w:rPr>
          <w:rFonts w:cs="Arial"/>
          <w:szCs w:val="22"/>
        </w:rPr>
      </w:pPr>
    </w:p>
    <w:p w:rsidR="0016273A" w:rsidRPr="00100D7E" w:rsidRDefault="0016273A" w:rsidP="00100D7E">
      <w:pPr>
        <w:spacing w:line="280" w:lineRule="atLeast"/>
        <w:rPr>
          <w:rFonts w:cs="Arial"/>
          <w:szCs w:val="22"/>
        </w:rPr>
      </w:pPr>
    </w:p>
    <w:p w:rsidR="003A55C0" w:rsidRDefault="00192F2A" w:rsidP="000B4DAB">
      <w:pPr>
        <w:pStyle w:val="NoHeading2"/>
        <w:keepNext/>
        <w:spacing w:before="120"/>
        <w:ind w:right="340"/>
      </w:pPr>
      <w:bookmarkStart w:id="160" w:name="_Toc414346438"/>
      <w:bookmarkStart w:id="161" w:name="_Toc414522827"/>
      <w:r>
        <w:t>4</w:t>
      </w:r>
      <w:r w:rsidR="000B4DAB">
        <w:t>.5</w:t>
      </w:r>
      <w:r w:rsidR="00B236CA">
        <w:tab/>
      </w:r>
      <w:r w:rsidR="0016175C">
        <w:t>Early Warning System</w:t>
      </w:r>
      <w:bookmarkEnd w:id="160"/>
      <w:bookmarkEnd w:id="161"/>
    </w:p>
    <w:p w:rsidR="003A55C0" w:rsidRDefault="003A55C0" w:rsidP="00100D7E">
      <w:pPr>
        <w:spacing w:line="280" w:lineRule="atLeast"/>
        <w:rPr>
          <w:rFonts w:cs="Arial"/>
          <w:szCs w:val="22"/>
        </w:rPr>
      </w:pPr>
    </w:p>
    <w:p w:rsidR="0016175C" w:rsidRDefault="0016175C" w:rsidP="0016175C">
      <w:pPr>
        <w:spacing w:line="280" w:lineRule="atLeast"/>
        <w:rPr>
          <w:rFonts w:cs="Arial"/>
          <w:bCs/>
        </w:rPr>
      </w:pPr>
      <w:r>
        <w:rPr>
          <w:rFonts w:cs="Arial"/>
          <w:bCs/>
        </w:rPr>
        <w:t xml:space="preserve">Medsafe and the Therapeutic Goods Administration of Australia </w:t>
      </w:r>
      <w:r w:rsidR="005F0869">
        <w:rPr>
          <w:rFonts w:cs="Arial"/>
          <w:bCs/>
        </w:rPr>
        <w:t xml:space="preserve">(TGA) </w:t>
      </w:r>
      <w:r>
        <w:rPr>
          <w:rFonts w:cs="Arial"/>
          <w:bCs/>
        </w:rPr>
        <w:t xml:space="preserve">have developed a system to ensure that concerns with particular medicines are able to be communicated to users and prescribers shortly after they have been identified. These potential concerns </w:t>
      </w:r>
      <w:r w:rsidR="005F0869">
        <w:rPr>
          <w:rFonts w:cs="Arial"/>
          <w:bCs/>
        </w:rPr>
        <w:t xml:space="preserve">have been identified through </w:t>
      </w:r>
      <w:proofErr w:type="spellStart"/>
      <w:r w:rsidR="005F0869">
        <w:rPr>
          <w:rFonts w:cs="Arial"/>
          <w:bCs/>
        </w:rPr>
        <w:t>Medsafe’s</w:t>
      </w:r>
      <w:proofErr w:type="spellEnd"/>
      <w:r w:rsidR="005F0869">
        <w:rPr>
          <w:rFonts w:cs="Arial"/>
          <w:bCs/>
        </w:rPr>
        <w:t xml:space="preserve"> and the TGA’s signal management processes</w:t>
      </w:r>
      <w:r>
        <w:rPr>
          <w:rFonts w:cs="Arial"/>
          <w:bCs/>
        </w:rPr>
        <w:t>. Some of the safety concerns may not have been fully investigated</w:t>
      </w:r>
      <w:r w:rsidR="005F0869">
        <w:rPr>
          <w:rFonts w:cs="Arial"/>
          <w:bCs/>
        </w:rPr>
        <w:t xml:space="preserve"> and therefore</w:t>
      </w:r>
      <w:r>
        <w:rPr>
          <w:rFonts w:cs="Arial"/>
          <w:bCs/>
        </w:rPr>
        <w:t xml:space="preserve"> may not result in </w:t>
      </w:r>
      <w:r w:rsidRPr="002D7289">
        <w:rPr>
          <w:rFonts w:cs="Arial"/>
          <w:bCs/>
        </w:rPr>
        <w:t>any further action.</w:t>
      </w:r>
      <w:r>
        <w:rPr>
          <w:rFonts w:cs="Arial"/>
          <w:bCs/>
        </w:rPr>
        <w:t xml:space="preserve"> </w:t>
      </w:r>
      <w:r w:rsidR="00BB00F2">
        <w:rPr>
          <w:rFonts w:cs="Arial"/>
          <w:bCs/>
        </w:rPr>
        <w:t xml:space="preserve">These are communicated through monitoring communications. </w:t>
      </w:r>
      <w:r>
        <w:rPr>
          <w:rFonts w:cs="Arial"/>
          <w:bCs/>
        </w:rPr>
        <w:t xml:space="preserve">In other instances, Medsafe may issue an alert communication once a </w:t>
      </w:r>
      <w:r w:rsidR="0000483E">
        <w:rPr>
          <w:rFonts w:cs="Arial"/>
          <w:bCs/>
        </w:rPr>
        <w:t xml:space="preserve">completed </w:t>
      </w:r>
      <w:r>
        <w:rPr>
          <w:rFonts w:cs="Arial"/>
          <w:bCs/>
        </w:rPr>
        <w:t xml:space="preserve">review of the safety concern has been completed and a causal link is </w:t>
      </w:r>
      <w:r w:rsidR="0000483E">
        <w:rPr>
          <w:rFonts w:cs="Arial"/>
          <w:bCs/>
        </w:rPr>
        <w:t>indicated</w:t>
      </w:r>
      <w:r>
        <w:rPr>
          <w:rFonts w:cs="Arial"/>
          <w:bCs/>
        </w:rPr>
        <w:t>.</w:t>
      </w:r>
    </w:p>
    <w:p w:rsidR="0016175C" w:rsidRDefault="0016175C" w:rsidP="0016175C">
      <w:pPr>
        <w:spacing w:line="280" w:lineRule="atLeast"/>
        <w:rPr>
          <w:rFonts w:cs="Arial"/>
          <w:bCs/>
        </w:rPr>
      </w:pPr>
    </w:p>
    <w:p w:rsidR="0016175C" w:rsidRDefault="00364914" w:rsidP="0016175C">
      <w:pPr>
        <w:spacing w:line="280" w:lineRule="atLeast"/>
        <w:rPr>
          <w:rFonts w:cs="Arial"/>
          <w:bCs/>
        </w:rPr>
      </w:pPr>
      <w:r>
        <w:rPr>
          <w:rFonts w:cs="Arial"/>
          <w:bCs/>
        </w:rPr>
        <w:t xml:space="preserve">Medsafe will contact </w:t>
      </w:r>
      <w:r w:rsidR="00D34417">
        <w:rPr>
          <w:rFonts w:cs="Arial"/>
          <w:bCs/>
        </w:rPr>
        <w:t xml:space="preserve">the </w:t>
      </w:r>
      <w:r>
        <w:rPr>
          <w:rFonts w:cs="Arial"/>
          <w:bCs/>
        </w:rPr>
        <w:t xml:space="preserve">sponsor prior to publication on the Early Warning System. This may </w:t>
      </w:r>
      <w:r w:rsidR="00BB00F2">
        <w:rPr>
          <w:rFonts w:cs="Arial"/>
          <w:bCs/>
        </w:rPr>
        <w:t xml:space="preserve">initially </w:t>
      </w:r>
      <w:r>
        <w:rPr>
          <w:rFonts w:cs="Arial"/>
          <w:bCs/>
        </w:rPr>
        <w:t xml:space="preserve">be for additional information to help investigate the signal. Sponsors will be provided with a copy of the text </w:t>
      </w:r>
      <w:r w:rsidR="00BB00F2">
        <w:rPr>
          <w:rFonts w:cs="Arial"/>
          <w:bCs/>
        </w:rPr>
        <w:t>intended for publication</w:t>
      </w:r>
      <w:r w:rsidR="005F0869">
        <w:rPr>
          <w:rFonts w:cs="Arial"/>
          <w:bCs/>
        </w:rPr>
        <w:t xml:space="preserve"> to review </w:t>
      </w:r>
      <w:r>
        <w:rPr>
          <w:rFonts w:cs="Arial"/>
          <w:bCs/>
        </w:rPr>
        <w:t xml:space="preserve">for factual accuracy prior to </w:t>
      </w:r>
      <w:r w:rsidR="005F0869">
        <w:rPr>
          <w:rFonts w:cs="Arial"/>
          <w:bCs/>
        </w:rPr>
        <w:t xml:space="preserve">actual </w:t>
      </w:r>
      <w:r>
        <w:rPr>
          <w:rFonts w:cs="Arial"/>
          <w:bCs/>
        </w:rPr>
        <w:t>publication.</w:t>
      </w:r>
    </w:p>
    <w:p w:rsidR="00100D7E" w:rsidRDefault="00100D7E" w:rsidP="00100D7E">
      <w:pPr>
        <w:spacing w:line="280" w:lineRule="atLeast"/>
        <w:rPr>
          <w:rFonts w:cs="Arial"/>
          <w:szCs w:val="22"/>
        </w:rPr>
      </w:pPr>
    </w:p>
    <w:p w:rsidR="00C54B93" w:rsidRPr="00100D7E" w:rsidRDefault="00C54B93" w:rsidP="00100D7E">
      <w:pPr>
        <w:spacing w:line="280" w:lineRule="atLeast"/>
        <w:rPr>
          <w:rFonts w:cs="Arial"/>
          <w:szCs w:val="22"/>
        </w:rPr>
      </w:pPr>
    </w:p>
    <w:p w:rsidR="003A55C0" w:rsidRPr="00274B14" w:rsidRDefault="000B4DAB" w:rsidP="003A55C0">
      <w:pPr>
        <w:pStyle w:val="NoHeading2"/>
        <w:keepNext/>
        <w:tabs>
          <w:tab w:val="num" w:pos="0"/>
        </w:tabs>
        <w:spacing w:before="120"/>
        <w:ind w:left="1134" w:hanging="1134"/>
      </w:pPr>
      <w:bookmarkStart w:id="162" w:name="_Toc414346439"/>
      <w:bookmarkStart w:id="163" w:name="_Toc414522828"/>
      <w:r>
        <w:t>4.6</w:t>
      </w:r>
      <w:r w:rsidR="003A55C0">
        <w:tab/>
      </w:r>
      <w:r w:rsidR="0016175C" w:rsidRPr="0016175C">
        <w:rPr>
          <w:bCs/>
        </w:rPr>
        <w:t xml:space="preserve"> </w:t>
      </w:r>
      <w:r w:rsidR="00274B14">
        <w:rPr>
          <w:bCs/>
        </w:rPr>
        <w:t xml:space="preserve">Medicines Monitoring </w:t>
      </w:r>
      <w:r w:rsidR="00274B14">
        <w:rPr>
          <w:noProof/>
          <w:lang w:eastAsia="en-NZ"/>
        </w:rPr>
        <w:drawing>
          <wp:inline distT="0" distB="0" distL="0" distR="0" wp14:anchorId="166708EE" wp14:editId="09CE61BD">
            <wp:extent cx="239476" cy="219456"/>
            <wp:effectExtent l="0" t="0" r="8255" b="9525"/>
            <wp:docPr id="3" name="Picture 3" descr="M²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²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3" cy="221708"/>
                    </a:xfrm>
                    <a:prstGeom prst="rect">
                      <a:avLst/>
                    </a:prstGeom>
                    <a:noFill/>
                    <a:ln>
                      <a:noFill/>
                    </a:ln>
                  </pic:spPr>
                </pic:pic>
              </a:graphicData>
            </a:graphic>
          </wp:inline>
        </w:drawing>
      </w:r>
      <w:bookmarkEnd w:id="162"/>
      <w:bookmarkEnd w:id="163"/>
    </w:p>
    <w:p w:rsidR="0016175C" w:rsidRDefault="004946D0" w:rsidP="00274B14">
      <w:pPr>
        <w:spacing w:before="240"/>
        <w:rPr>
          <w:rFonts w:cs="Arial"/>
        </w:rPr>
      </w:pPr>
      <w:r>
        <w:rPr>
          <w:rFonts w:cs="Arial"/>
        </w:rPr>
        <w:t xml:space="preserve">The </w:t>
      </w:r>
      <w:r w:rsidR="0016175C">
        <w:rPr>
          <w:rFonts w:cs="Arial"/>
        </w:rPr>
        <w:t xml:space="preserve">medicines monitoring </w:t>
      </w:r>
      <w:r w:rsidR="00274B14">
        <w:rPr>
          <w:noProof/>
          <w:lang w:eastAsia="en-NZ"/>
        </w:rPr>
        <w:drawing>
          <wp:inline distT="0" distB="0" distL="0" distR="0" wp14:anchorId="4D8849E1" wp14:editId="00871BC0">
            <wp:extent cx="239476" cy="219456"/>
            <wp:effectExtent l="0" t="0" r="8255" b="9525"/>
            <wp:docPr id="2" name="Picture 2" descr="M²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²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933" cy="221708"/>
                    </a:xfrm>
                    <a:prstGeom prst="rect">
                      <a:avLst/>
                    </a:prstGeom>
                    <a:noFill/>
                    <a:ln>
                      <a:noFill/>
                    </a:ln>
                  </pic:spPr>
                </pic:pic>
              </a:graphicData>
            </a:graphic>
          </wp:inline>
        </w:drawing>
      </w:r>
      <w:r w:rsidR="00274B14">
        <w:rPr>
          <w:rFonts w:cs="Arial"/>
        </w:rPr>
        <w:t xml:space="preserve"> </w:t>
      </w:r>
      <w:r w:rsidR="0016175C">
        <w:rPr>
          <w:rFonts w:cs="Arial"/>
        </w:rPr>
        <w:t xml:space="preserve">scheme highlights safety concerns </w:t>
      </w:r>
      <w:r w:rsidR="00BB00F2">
        <w:rPr>
          <w:rFonts w:cs="Arial"/>
        </w:rPr>
        <w:t xml:space="preserve">generally </w:t>
      </w:r>
      <w:r w:rsidR="0016175C">
        <w:rPr>
          <w:rFonts w:cs="Arial"/>
        </w:rPr>
        <w:t xml:space="preserve">identified from reports </w:t>
      </w:r>
      <w:r w:rsidR="0016175C">
        <w:t xml:space="preserve">of </w:t>
      </w:r>
      <w:r w:rsidR="0016175C">
        <w:rPr>
          <w:rStyle w:val="style-italic"/>
        </w:rPr>
        <w:t>suspected</w:t>
      </w:r>
      <w:r w:rsidR="0016175C">
        <w:t xml:space="preserve"> medicine </w:t>
      </w:r>
      <w:r w:rsidR="00274B14">
        <w:t xml:space="preserve">adverse </w:t>
      </w:r>
      <w:r w:rsidR="0016175C">
        <w:t>reactions sent to the Centre for Adverse Reactions Monitoring (CARM)</w:t>
      </w:r>
      <w:r w:rsidR="000B3DF8">
        <w:t>.</w:t>
      </w:r>
      <w:r w:rsidR="0016175C">
        <w:t xml:space="preserve"> </w:t>
      </w:r>
      <w:r w:rsidR="000B3DF8">
        <w:t>T</w:t>
      </w:r>
      <w:r w:rsidR="0016175C">
        <w:t xml:space="preserve">he aim </w:t>
      </w:r>
      <w:r w:rsidR="000B3DF8">
        <w:t xml:space="preserve">is to </w:t>
      </w:r>
      <w:r w:rsidR="0016175C">
        <w:t xml:space="preserve">seek more information on these safety concerns. </w:t>
      </w:r>
      <w:r w:rsidR="005F0869">
        <w:t xml:space="preserve"> </w:t>
      </w:r>
    </w:p>
    <w:p w:rsidR="0016175C" w:rsidRDefault="0016175C" w:rsidP="0016175C">
      <w:pPr>
        <w:spacing w:line="260" w:lineRule="exact"/>
        <w:ind w:right="340"/>
        <w:rPr>
          <w:rStyle w:val="NormalBoldTeal"/>
          <w:b w:val="0"/>
          <w:color w:val="auto"/>
          <w:szCs w:val="22"/>
        </w:rPr>
      </w:pPr>
    </w:p>
    <w:p w:rsidR="0016175C" w:rsidRDefault="0016175C" w:rsidP="0016175C">
      <w:pPr>
        <w:spacing w:line="260" w:lineRule="exact"/>
        <w:ind w:right="340"/>
        <w:rPr>
          <w:rStyle w:val="NormalBoldTeal"/>
          <w:b w:val="0"/>
          <w:color w:val="auto"/>
          <w:szCs w:val="22"/>
        </w:rPr>
      </w:pPr>
      <w:r>
        <w:rPr>
          <w:rStyle w:val="NormalBoldTeal"/>
          <w:b w:val="0"/>
          <w:color w:val="auto"/>
          <w:szCs w:val="22"/>
        </w:rPr>
        <w:t>Sponsors should</w:t>
      </w:r>
      <w:r w:rsidR="00364914">
        <w:rPr>
          <w:rStyle w:val="NormalBoldTeal"/>
          <w:b w:val="0"/>
          <w:color w:val="auto"/>
          <w:szCs w:val="22"/>
        </w:rPr>
        <w:t xml:space="preserve"> note these</w:t>
      </w:r>
      <w:r w:rsidR="000B4493">
        <w:rPr>
          <w:rStyle w:val="NormalBoldTeal"/>
          <w:b w:val="0"/>
          <w:color w:val="auto"/>
          <w:szCs w:val="22"/>
        </w:rPr>
        <w:t xml:space="preserve"> safety concerns</w:t>
      </w:r>
      <w:r w:rsidR="00364914">
        <w:rPr>
          <w:rStyle w:val="NormalBoldTeal"/>
          <w:b w:val="0"/>
          <w:color w:val="auto"/>
          <w:szCs w:val="22"/>
        </w:rPr>
        <w:t xml:space="preserve">, </w:t>
      </w:r>
      <w:r w:rsidR="00D34417">
        <w:rPr>
          <w:rStyle w:val="NormalBoldTeal"/>
          <w:b w:val="0"/>
          <w:color w:val="auto"/>
          <w:szCs w:val="22"/>
        </w:rPr>
        <w:t>and</w:t>
      </w:r>
      <w:r w:rsidR="00364914">
        <w:rPr>
          <w:rStyle w:val="NormalBoldTeal"/>
          <w:b w:val="0"/>
          <w:color w:val="auto"/>
          <w:szCs w:val="22"/>
        </w:rPr>
        <w:t xml:space="preserve"> that no action is currently required on their part.</w:t>
      </w:r>
    </w:p>
    <w:p w:rsidR="008977B9" w:rsidRDefault="008977B9">
      <w:pPr>
        <w:rPr>
          <w:szCs w:val="22"/>
        </w:rPr>
      </w:pPr>
    </w:p>
    <w:p w:rsidR="004946D0" w:rsidRDefault="004946D0">
      <w:pPr>
        <w:rPr>
          <w:szCs w:val="22"/>
        </w:rPr>
      </w:pPr>
    </w:p>
    <w:p w:rsidR="004946D0" w:rsidRDefault="004946D0">
      <w:pPr>
        <w:rPr>
          <w:rFonts w:cs="Arial"/>
          <w:b/>
          <w:color w:val="008080"/>
          <w:sz w:val="36"/>
          <w:szCs w:val="22"/>
        </w:rPr>
      </w:pPr>
      <w:r>
        <w:rPr>
          <w:szCs w:val="22"/>
        </w:rPr>
        <w:br w:type="page"/>
      </w:r>
    </w:p>
    <w:p w:rsidR="00262FC3" w:rsidRPr="007679B2" w:rsidRDefault="00262FC3" w:rsidP="00262FC3">
      <w:pPr>
        <w:pStyle w:val="NoHeading1"/>
        <w:spacing w:after="0" w:line="280" w:lineRule="atLeast"/>
        <w:ind w:right="340"/>
      </w:pPr>
      <w:bookmarkStart w:id="164" w:name="_Toc414346440"/>
      <w:bookmarkStart w:id="165" w:name="_Toc414522829"/>
      <w:r>
        <w:rPr>
          <w:szCs w:val="22"/>
        </w:rPr>
        <w:t xml:space="preserve">Section </w:t>
      </w:r>
      <w:r w:rsidR="00CE5DED">
        <w:rPr>
          <w:szCs w:val="22"/>
        </w:rPr>
        <w:t>5</w:t>
      </w:r>
      <w:r>
        <w:rPr>
          <w:szCs w:val="22"/>
        </w:rPr>
        <w:t>:</w:t>
      </w:r>
      <w:r>
        <w:rPr>
          <w:szCs w:val="22"/>
        </w:rPr>
        <w:tab/>
      </w:r>
      <w:r>
        <w:t>Significant Safety Issues</w:t>
      </w:r>
      <w:bookmarkEnd w:id="164"/>
      <w:bookmarkEnd w:id="165"/>
      <w:r>
        <w:t xml:space="preserve"> </w:t>
      </w:r>
    </w:p>
    <w:p w:rsidR="00262FC3" w:rsidRDefault="00262FC3" w:rsidP="00DB50E6">
      <w:pPr>
        <w:ind w:right="340"/>
        <w:contextualSpacing/>
        <w:rPr>
          <w:szCs w:val="22"/>
        </w:rPr>
      </w:pPr>
    </w:p>
    <w:p w:rsidR="00DB50E6" w:rsidRPr="00557EA4" w:rsidRDefault="00DB50E6" w:rsidP="00DB50E6">
      <w:pPr>
        <w:ind w:right="340"/>
        <w:contextualSpacing/>
        <w:rPr>
          <w:szCs w:val="22"/>
        </w:rPr>
      </w:pPr>
    </w:p>
    <w:p w:rsidR="00262FC3" w:rsidRDefault="00262FC3" w:rsidP="00262FC3">
      <w:pPr>
        <w:pBdr>
          <w:top w:val="single" w:sz="4" w:space="0" w:color="auto"/>
          <w:left w:val="single" w:sz="4" w:space="4" w:color="auto"/>
          <w:bottom w:val="single" w:sz="4" w:space="1" w:color="auto"/>
          <w:right w:val="single" w:sz="4" w:space="4" w:color="auto"/>
        </w:pBdr>
        <w:ind w:right="340"/>
        <w:rPr>
          <w:rStyle w:val="NormalBoldTeal"/>
        </w:rPr>
      </w:pPr>
    </w:p>
    <w:p w:rsidR="00262FC3" w:rsidRDefault="00262FC3" w:rsidP="00DB50E6">
      <w:pPr>
        <w:pBdr>
          <w:top w:val="single" w:sz="4" w:space="0" w:color="auto"/>
          <w:left w:val="single" w:sz="4" w:space="4" w:color="auto"/>
          <w:bottom w:val="single" w:sz="4" w:space="1" w:color="auto"/>
          <w:right w:val="single" w:sz="4" w:space="4" w:color="auto"/>
        </w:pBdr>
        <w:spacing w:after="120"/>
        <w:ind w:right="340"/>
        <w:rPr>
          <w:rStyle w:val="NormalBoldTeal"/>
          <w:sz w:val="24"/>
        </w:rPr>
      </w:pPr>
      <w:r w:rsidRPr="00557EA4">
        <w:rPr>
          <w:rStyle w:val="NormalBoldTeal"/>
          <w:sz w:val="24"/>
        </w:rPr>
        <w:t>Section summary</w:t>
      </w:r>
    </w:p>
    <w:p w:rsidR="00262FC3" w:rsidRPr="0005336D" w:rsidRDefault="00262FC3" w:rsidP="00DB50E6">
      <w:pPr>
        <w:pBdr>
          <w:top w:val="single" w:sz="4" w:space="0" w:color="auto"/>
          <w:left w:val="single" w:sz="4" w:space="4" w:color="auto"/>
          <w:bottom w:val="single" w:sz="4" w:space="1" w:color="auto"/>
          <w:right w:val="single" w:sz="4" w:space="4" w:color="auto"/>
        </w:pBdr>
        <w:ind w:right="340"/>
        <w:contextualSpacing/>
        <w:rPr>
          <w:rStyle w:val="NormalBoldTeal"/>
          <w:rFonts w:cs="Arial"/>
          <w:b w:val="0"/>
          <w:i/>
          <w:color w:val="auto"/>
          <w:szCs w:val="22"/>
        </w:rPr>
      </w:pPr>
      <w:r w:rsidRPr="0005336D">
        <w:rPr>
          <w:rStyle w:val="NormalBoldTeal"/>
          <w:rFonts w:cs="Arial"/>
          <w:b w:val="0"/>
          <w:i/>
          <w:color w:val="auto"/>
          <w:szCs w:val="22"/>
        </w:rPr>
        <w:t xml:space="preserve">This section provides </w:t>
      </w:r>
      <w:r w:rsidR="005D491D">
        <w:rPr>
          <w:rStyle w:val="NormalBoldTeal"/>
          <w:rFonts w:cs="Arial"/>
          <w:b w:val="0"/>
          <w:i/>
          <w:color w:val="auto"/>
          <w:szCs w:val="22"/>
        </w:rPr>
        <w:t>guidance</w:t>
      </w:r>
      <w:r w:rsidRPr="0005336D">
        <w:rPr>
          <w:rStyle w:val="NormalBoldTeal"/>
          <w:rFonts w:cs="Arial"/>
          <w:b w:val="0"/>
          <w:i/>
          <w:color w:val="auto"/>
          <w:szCs w:val="22"/>
        </w:rPr>
        <w:t xml:space="preserve"> on what </w:t>
      </w:r>
      <w:r>
        <w:rPr>
          <w:rStyle w:val="NormalBoldTeal"/>
          <w:rFonts w:cs="Arial"/>
          <w:b w:val="0"/>
          <w:i/>
          <w:color w:val="auto"/>
          <w:szCs w:val="22"/>
        </w:rPr>
        <w:t>constitutes</w:t>
      </w:r>
      <w:r w:rsidRPr="0005336D">
        <w:rPr>
          <w:rStyle w:val="NormalBoldTeal"/>
          <w:rFonts w:cs="Arial"/>
          <w:b w:val="0"/>
          <w:i/>
          <w:color w:val="auto"/>
          <w:szCs w:val="22"/>
        </w:rPr>
        <w:t xml:space="preserve"> </w:t>
      </w:r>
      <w:r>
        <w:rPr>
          <w:rStyle w:val="NormalBoldTeal"/>
          <w:rFonts w:cs="Arial"/>
          <w:b w:val="0"/>
          <w:i/>
          <w:color w:val="auto"/>
          <w:szCs w:val="22"/>
        </w:rPr>
        <w:t>significant safety issues</w:t>
      </w:r>
      <w:r w:rsidR="005D491D">
        <w:rPr>
          <w:rStyle w:val="NormalBoldTeal"/>
          <w:rFonts w:cs="Arial"/>
          <w:b w:val="0"/>
          <w:i/>
          <w:color w:val="auto"/>
          <w:szCs w:val="22"/>
        </w:rPr>
        <w:t xml:space="preserve"> which may need to be reported </w:t>
      </w:r>
      <w:r w:rsidR="00364914">
        <w:rPr>
          <w:rStyle w:val="NormalBoldTeal"/>
          <w:rFonts w:cs="Arial"/>
          <w:b w:val="0"/>
          <w:i/>
          <w:color w:val="auto"/>
          <w:szCs w:val="22"/>
        </w:rPr>
        <w:t>to Medsafe under section 41</w:t>
      </w:r>
      <w:r w:rsidR="00ED5AF8">
        <w:rPr>
          <w:rStyle w:val="NormalBoldTeal"/>
          <w:rFonts w:cs="Arial"/>
          <w:b w:val="0"/>
          <w:i/>
          <w:color w:val="auto"/>
          <w:szCs w:val="22"/>
        </w:rPr>
        <w:t xml:space="preserve"> of the Act</w:t>
      </w:r>
      <w:r w:rsidR="00364914">
        <w:rPr>
          <w:rStyle w:val="NormalBoldTeal"/>
          <w:rFonts w:cs="Arial"/>
          <w:b w:val="0"/>
          <w:i/>
          <w:color w:val="auto"/>
          <w:szCs w:val="22"/>
        </w:rPr>
        <w:t>.</w:t>
      </w:r>
    </w:p>
    <w:p w:rsidR="00262FC3" w:rsidRPr="00186D8B" w:rsidRDefault="00262FC3" w:rsidP="00262FC3">
      <w:pPr>
        <w:pBdr>
          <w:top w:val="single" w:sz="4" w:space="0" w:color="auto"/>
          <w:left w:val="single" w:sz="4" w:space="4" w:color="auto"/>
          <w:bottom w:val="single" w:sz="4" w:space="1" w:color="auto"/>
          <w:right w:val="single" w:sz="4" w:space="4" w:color="auto"/>
        </w:pBdr>
        <w:ind w:right="340"/>
        <w:rPr>
          <w:rStyle w:val="NormalBoldTeal"/>
          <w:b w:val="0"/>
          <w:color w:val="auto"/>
          <w:szCs w:val="22"/>
        </w:rPr>
      </w:pPr>
    </w:p>
    <w:p w:rsidR="002D7289" w:rsidRPr="00186D8B" w:rsidRDefault="002D7289" w:rsidP="00262FC3">
      <w:pPr>
        <w:ind w:right="340"/>
        <w:rPr>
          <w:rStyle w:val="NormalBoldTeal"/>
          <w:b w:val="0"/>
          <w:color w:val="auto"/>
          <w:szCs w:val="22"/>
        </w:rPr>
      </w:pPr>
    </w:p>
    <w:p w:rsidR="00262FC3" w:rsidRPr="001A7B1B" w:rsidRDefault="00CE5DED" w:rsidP="00262FC3">
      <w:pPr>
        <w:pStyle w:val="NoHeading2"/>
        <w:keepNext/>
        <w:spacing w:before="120"/>
        <w:ind w:left="1140" w:right="340" w:hanging="1140"/>
      </w:pPr>
      <w:bookmarkStart w:id="166" w:name="_Toc414346441"/>
      <w:bookmarkStart w:id="167" w:name="_Toc414522830"/>
      <w:r>
        <w:t>5</w:t>
      </w:r>
      <w:r w:rsidR="00262FC3">
        <w:t>.1</w:t>
      </w:r>
      <w:r w:rsidR="00262FC3">
        <w:tab/>
        <w:t>Introduction</w:t>
      </w:r>
      <w:bookmarkEnd w:id="166"/>
      <w:bookmarkEnd w:id="167"/>
    </w:p>
    <w:p w:rsidR="00262FC3" w:rsidRDefault="00262FC3" w:rsidP="00262FC3">
      <w:pPr>
        <w:spacing w:line="280" w:lineRule="atLeast"/>
        <w:rPr>
          <w:rFonts w:cs="Arial"/>
          <w:szCs w:val="22"/>
        </w:rPr>
      </w:pPr>
    </w:p>
    <w:p w:rsidR="00262FC3" w:rsidRDefault="00262FC3" w:rsidP="00D0130E">
      <w:pPr>
        <w:spacing w:line="280" w:lineRule="atLeast"/>
        <w:rPr>
          <w:rFonts w:cs="Arial"/>
        </w:rPr>
      </w:pPr>
      <w:r w:rsidRPr="00D34417">
        <w:rPr>
          <w:rFonts w:cs="Arial"/>
        </w:rPr>
        <w:t xml:space="preserve">It is a </w:t>
      </w:r>
      <w:r w:rsidR="00364914" w:rsidRPr="00D34417">
        <w:rPr>
          <w:rFonts w:cs="Arial"/>
        </w:rPr>
        <w:t>statutory</w:t>
      </w:r>
      <w:r w:rsidRPr="00D34417">
        <w:rPr>
          <w:rFonts w:cs="Arial"/>
        </w:rPr>
        <w:t xml:space="preserve"> requirement that </w:t>
      </w:r>
      <w:r w:rsidR="00D0130E" w:rsidRPr="00D34417">
        <w:rPr>
          <w:rFonts w:cs="Arial"/>
        </w:rPr>
        <w:t xml:space="preserve">sponsors must report any untoward effects </w:t>
      </w:r>
      <w:r w:rsidRPr="00D34417">
        <w:rPr>
          <w:rFonts w:cs="Arial"/>
        </w:rPr>
        <w:t>for any medicine for which they are the sponsor</w:t>
      </w:r>
      <w:r w:rsidR="00D0130E" w:rsidRPr="00D34417">
        <w:rPr>
          <w:rFonts w:cs="Arial"/>
        </w:rPr>
        <w:t xml:space="preserve"> and indicate what action they are proposing to take on these issues. Medsafe interprets “untoward effects” as including</w:t>
      </w:r>
      <w:r w:rsidRPr="00D34417">
        <w:rPr>
          <w:rFonts w:cs="Arial"/>
        </w:rPr>
        <w:t xml:space="preserve"> any significant safety issues </w:t>
      </w:r>
      <w:r w:rsidR="00D0130E" w:rsidRPr="00D34417">
        <w:rPr>
          <w:rFonts w:cs="Arial"/>
        </w:rPr>
        <w:t xml:space="preserve">or concerns </w:t>
      </w:r>
      <w:r w:rsidRPr="00D34417">
        <w:rPr>
          <w:rFonts w:cs="Arial"/>
        </w:rPr>
        <w:t xml:space="preserve">that </w:t>
      </w:r>
      <w:r w:rsidR="00D0130E" w:rsidRPr="00D34417">
        <w:rPr>
          <w:rFonts w:cs="Arial"/>
        </w:rPr>
        <w:t>sponsors</w:t>
      </w:r>
      <w:r w:rsidRPr="00D34417">
        <w:rPr>
          <w:rFonts w:cs="Arial"/>
        </w:rPr>
        <w:t xml:space="preserve"> are aware of</w:t>
      </w:r>
      <w:r w:rsidR="00D0130E" w:rsidRPr="00D34417">
        <w:rPr>
          <w:rFonts w:cs="Arial"/>
        </w:rPr>
        <w:t xml:space="preserve"> that may affect the </w:t>
      </w:r>
      <w:r w:rsidR="005D491D" w:rsidRPr="00D34417">
        <w:rPr>
          <w:rFonts w:cs="Arial"/>
        </w:rPr>
        <w:t xml:space="preserve">balance of </w:t>
      </w:r>
      <w:r w:rsidR="00D0130E" w:rsidRPr="00D34417">
        <w:rPr>
          <w:rFonts w:cs="Arial"/>
        </w:rPr>
        <w:t>benefit</w:t>
      </w:r>
      <w:r w:rsidR="005D491D" w:rsidRPr="00D34417">
        <w:rPr>
          <w:rFonts w:cs="Arial"/>
        </w:rPr>
        <w:t xml:space="preserve">s and </w:t>
      </w:r>
      <w:r w:rsidR="00D0130E" w:rsidRPr="00D34417">
        <w:rPr>
          <w:rFonts w:cs="Arial"/>
        </w:rPr>
        <w:t>risk</w:t>
      </w:r>
      <w:r w:rsidR="00D34417" w:rsidRPr="00D34417">
        <w:rPr>
          <w:rFonts w:cs="Arial"/>
        </w:rPr>
        <w:t>s</w:t>
      </w:r>
      <w:r w:rsidR="00D0130E" w:rsidRPr="00D34417">
        <w:rPr>
          <w:rFonts w:cs="Arial"/>
        </w:rPr>
        <w:t xml:space="preserve"> of </w:t>
      </w:r>
      <w:r w:rsidR="005D491D" w:rsidRPr="00D34417">
        <w:rPr>
          <w:rFonts w:cs="Arial"/>
        </w:rPr>
        <w:t>harm</w:t>
      </w:r>
      <w:r w:rsidR="00D0130E" w:rsidRPr="00D34417">
        <w:rPr>
          <w:rFonts w:cs="Arial"/>
        </w:rPr>
        <w:t xml:space="preserve"> of the medicine.</w:t>
      </w:r>
      <w:r w:rsidRPr="0017147F">
        <w:rPr>
          <w:rFonts w:cs="Arial"/>
        </w:rPr>
        <w:t xml:space="preserve"> </w:t>
      </w:r>
    </w:p>
    <w:p w:rsidR="00262FC3" w:rsidRDefault="00262FC3" w:rsidP="00262FC3">
      <w:pPr>
        <w:spacing w:line="280" w:lineRule="atLeast"/>
        <w:rPr>
          <w:rFonts w:cs="Arial"/>
        </w:rPr>
      </w:pPr>
    </w:p>
    <w:p w:rsidR="00262FC3" w:rsidRDefault="00262FC3" w:rsidP="00262FC3">
      <w:pPr>
        <w:spacing w:line="280" w:lineRule="atLeast"/>
        <w:rPr>
          <w:rFonts w:cs="Arial"/>
        </w:rPr>
      </w:pPr>
    </w:p>
    <w:p w:rsidR="00262FC3" w:rsidRPr="00EB048A" w:rsidRDefault="00CE5DED" w:rsidP="00262FC3">
      <w:pPr>
        <w:pStyle w:val="NoHeading2"/>
        <w:keepNext/>
        <w:spacing w:before="120"/>
        <w:ind w:left="1140" w:right="340" w:hanging="1140"/>
      </w:pPr>
      <w:bookmarkStart w:id="168" w:name="_Toc414346442"/>
      <w:bookmarkStart w:id="169" w:name="_Toc414522831"/>
      <w:r>
        <w:t>5</w:t>
      </w:r>
      <w:r w:rsidR="00262FC3" w:rsidRPr="00EB048A">
        <w:t>.2</w:t>
      </w:r>
      <w:r w:rsidR="00262FC3" w:rsidRPr="00EB048A">
        <w:tab/>
        <w:t xml:space="preserve">What are significant safety </w:t>
      </w:r>
      <w:proofErr w:type="gramStart"/>
      <w:r w:rsidR="00262FC3" w:rsidRPr="00EB048A">
        <w:t>issues</w:t>
      </w:r>
      <w:bookmarkEnd w:id="168"/>
      <w:bookmarkEnd w:id="169"/>
      <w:proofErr w:type="gramEnd"/>
    </w:p>
    <w:p w:rsidR="00262FC3" w:rsidRDefault="00262FC3" w:rsidP="00262FC3">
      <w:pPr>
        <w:spacing w:line="280" w:lineRule="atLeast"/>
        <w:rPr>
          <w:rFonts w:cs="Arial"/>
          <w:szCs w:val="22"/>
        </w:rPr>
      </w:pPr>
    </w:p>
    <w:p w:rsidR="00262FC3" w:rsidRPr="0016273A" w:rsidRDefault="00262FC3" w:rsidP="00262FC3">
      <w:pPr>
        <w:spacing w:line="280" w:lineRule="atLeast"/>
        <w:rPr>
          <w:rFonts w:cs="Arial"/>
          <w:szCs w:val="22"/>
        </w:rPr>
      </w:pPr>
      <w:r>
        <w:rPr>
          <w:rFonts w:cs="Arial"/>
          <w:szCs w:val="22"/>
        </w:rPr>
        <w:t xml:space="preserve">From a </w:t>
      </w:r>
      <w:proofErr w:type="spellStart"/>
      <w:r>
        <w:rPr>
          <w:rFonts w:cs="Arial"/>
          <w:szCs w:val="22"/>
        </w:rPr>
        <w:t>pharmacovigilance</w:t>
      </w:r>
      <w:proofErr w:type="spellEnd"/>
      <w:r>
        <w:rPr>
          <w:rFonts w:cs="Arial"/>
          <w:szCs w:val="22"/>
        </w:rPr>
        <w:t xml:space="preserve"> perspective, s</w:t>
      </w:r>
      <w:r w:rsidRPr="0016273A">
        <w:rPr>
          <w:rFonts w:cs="Arial"/>
          <w:szCs w:val="22"/>
        </w:rPr>
        <w:t>ignificant safety issues generally include but are not limited to:</w:t>
      </w:r>
    </w:p>
    <w:p w:rsidR="00262FC3" w:rsidRPr="00B331C4" w:rsidRDefault="004946D0" w:rsidP="00262FC3">
      <w:pPr>
        <w:pStyle w:val="ListBullet"/>
      </w:pPr>
      <w:r>
        <w:t>a</w:t>
      </w:r>
      <w:r w:rsidR="00262FC3">
        <w:t xml:space="preserve">ddition, modification or removal of an approved indication, a </w:t>
      </w:r>
      <w:r w:rsidR="005D491D">
        <w:t xml:space="preserve">change to the </w:t>
      </w:r>
      <w:r w:rsidR="00262FC3">
        <w:t>contraindication</w:t>
      </w:r>
      <w:r w:rsidR="00D34417">
        <w:t>s</w:t>
      </w:r>
      <w:r w:rsidR="00262FC3">
        <w:t>, warning</w:t>
      </w:r>
      <w:r w:rsidR="00D34417">
        <w:t>s</w:t>
      </w:r>
      <w:r w:rsidR="00ED5AF8">
        <w:t>,</w:t>
      </w:r>
      <w:r w:rsidR="00262FC3">
        <w:t xml:space="preserve"> precaution</w:t>
      </w:r>
      <w:r w:rsidR="00D34417">
        <w:t>s</w:t>
      </w:r>
      <w:r w:rsidR="00262FC3">
        <w:t xml:space="preserve"> </w:t>
      </w:r>
      <w:r w:rsidR="00ED5AF8">
        <w:t xml:space="preserve">or adverse reactions </w:t>
      </w:r>
      <w:r w:rsidR="00262FC3">
        <w:t>statement</w:t>
      </w:r>
      <w:r w:rsidR="005D491D">
        <w:t>s</w:t>
      </w:r>
      <w:r w:rsidR="00262FC3">
        <w:t xml:space="preserve"> in the product information</w:t>
      </w:r>
      <w:r w:rsidR="00274B14">
        <w:t xml:space="preserve"> for safety reasons</w:t>
      </w:r>
      <w:r w:rsidR="00262FC3">
        <w:t xml:space="preserve"> in an</w:t>
      </w:r>
      <w:r w:rsidR="00364914">
        <w:t>y</w:t>
      </w:r>
      <w:r w:rsidR="00262FC3">
        <w:t xml:space="preserve"> country where the medicine is marketed</w:t>
      </w:r>
    </w:p>
    <w:p w:rsidR="00262FC3" w:rsidRDefault="004946D0" w:rsidP="00262FC3">
      <w:pPr>
        <w:pStyle w:val="ListBullet"/>
      </w:pPr>
      <w:r>
        <w:t>i</w:t>
      </w:r>
      <w:r w:rsidR="00262FC3">
        <w:t xml:space="preserve">nvestigations of safety issues or concerns of the medicine in another country by that country’s medicines regulator </w:t>
      </w:r>
      <w:r w:rsidR="005D491D">
        <w:t>(</w:t>
      </w:r>
      <w:proofErr w:type="spellStart"/>
      <w:r w:rsidR="005D491D">
        <w:t>eg</w:t>
      </w:r>
      <w:proofErr w:type="spellEnd"/>
      <w:r w:rsidR="005D491D">
        <w:t>, E</w:t>
      </w:r>
      <w:r>
        <w:t>uropean Union (E</w:t>
      </w:r>
      <w:r w:rsidR="005D491D">
        <w:t>U</w:t>
      </w:r>
      <w:r>
        <w:t>)</w:t>
      </w:r>
      <w:r w:rsidR="005D491D">
        <w:t xml:space="preserve"> referral procedures for safety reasons)</w:t>
      </w:r>
    </w:p>
    <w:p w:rsidR="000B3DF8" w:rsidRDefault="004946D0" w:rsidP="00262FC3">
      <w:pPr>
        <w:pStyle w:val="ListBullet"/>
      </w:pPr>
      <w:r>
        <w:t>w</w:t>
      </w:r>
      <w:r w:rsidR="00262FC3">
        <w:t xml:space="preserve">ithdrawal or suspension of availability of the medicine in another </w:t>
      </w:r>
      <w:r w:rsidR="000B3DF8">
        <w:t>country</w:t>
      </w:r>
    </w:p>
    <w:p w:rsidR="00262FC3" w:rsidRDefault="004946D0" w:rsidP="00262FC3">
      <w:pPr>
        <w:pStyle w:val="ListBullet"/>
      </w:pPr>
      <w:r>
        <w:t>i</w:t>
      </w:r>
      <w:r w:rsidR="00262FC3">
        <w:t xml:space="preserve">ssues identified by the sponsor as </w:t>
      </w:r>
      <w:r w:rsidR="005D491D">
        <w:t xml:space="preserve">a result of the sponsor’s own </w:t>
      </w:r>
      <w:r w:rsidR="00262FC3" w:rsidRPr="003B3D69">
        <w:t>signal management process</w:t>
      </w:r>
      <w:r w:rsidR="00262FC3">
        <w:t xml:space="preserve"> </w:t>
      </w:r>
      <w:r w:rsidR="005D491D">
        <w:t>(</w:t>
      </w:r>
      <w:r w:rsidR="00262FC3">
        <w:t xml:space="preserve">see </w:t>
      </w:r>
      <w:r w:rsidR="00262FC3" w:rsidRPr="00B75E1A">
        <w:t xml:space="preserve">Section </w:t>
      </w:r>
      <w:r w:rsidR="00CE5DED" w:rsidRPr="00B75E1A">
        <w:t>4</w:t>
      </w:r>
      <w:r w:rsidR="00262FC3" w:rsidRPr="00B75E1A">
        <w:t>)</w:t>
      </w:r>
      <w:r w:rsidR="00262FC3">
        <w:t xml:space="preserve"> </w:t>
      </w:r>
      <w:r w:rsidR="005D491D">
        <w:t xml:space="preserve">once assessment has been completed and actions are proposed </w:t>
      </w:r>
    </w:p>
    <w:p w:rsidR="00262FC3" w:rsidRDefault="004946D0" w:rsidP="00262FC3">
      <w:pPr>
        <w:pStyle w:val="ListBullet"/>
      </w:pPr>
      <w:r>
        <w:t>s</w:t>
      </w:r>
      <w:r w:rsidR="00262FC3">
        <w:t xml:space="preserve">ignificant safety results from post-marketing </w:t>
      </w:r>
      <w:r w:rsidR="005D491D">
        <w:t>clinical studies</w:t>
      </w:r>
    </w:p>
    <w:p w:rsidR="00262FC3" w:rsidRPr="00B42B46" w:rsidRDefault="004946D0" w:rsidP="005D491D">
      <w:pPr>
        <w:pStyle w:val="ListBullet"/>
      </w:pPr>
      <w:r>
        <w:t>s</w:t>
      </w:r>
      <w:r w:rsidR="00262FC3" w:rsidRPr="00B42B46">
        <w:t xml:space="preserve">afety issues </w:t>
      </w:r>
      <w:r w:rsidR="00262FC3">
        <w:t>due to misinformation in the product information</w:t>
      </w:r>
    </w:p>
    <w:p w:rsidR="00262FC3" w:rsidRPr="00B42B46" w:rsidRDefault="004946D0" w:rsidP="005D491D">
      <w:pPr>
        <w:pStyle w:val="ListBullet"/>
      </w:pPr>
      <w:r>
        <w:t>s</w:t>
      </w:r>
      <w:r w:rsidR="00262FC3" w:rsidRPr="00B42B46">
        <w:t xml:space="preserve">afety issues related to use outside the terms </w:t>
      </w:r>
      <w:r w:rsidR="00262FC3">
        <w:t>of the product information or directions for use</w:t>
      </w:r>
    </w:p>
    <w:p w:rsidR="00262FC3" w:rsidRDefault="004946D0" w:rsidP="005D491D">
      <w:pPr>
        <w:pStyle w:val="ListBullet"/>
      </w:pPr>
      <w:r>
        <w:t>s</w:t>
      </w:r>
      <w:r w:rsidR="00262FC3" w:rsidRPr="00B42B46">
        <w:t>afety issues in relation to any raw materials used in the medicine</w:t>
      </w:r>
    </w:p>
    <w:p w:rsidR="00262FC3" w:rsidRDefault="004946D0" w:rsidP="00262FC3">
      <w:pPr>
        <w:pStyle w:val="ListBullet"/>
      </w:pPr>
      <w:proofErr w:type="gramStart"/>
      <w:r>
        <w:t>i</w:t>
      </w:r>
      <w:r w:rsidR="00262FC3">
        <w:t>ssues</w:t>
      </w:r>
      <w:proofErr w:type="gramEnd"/>
      <w:r w:rsidR="00262FC3">
        <w:t xml:space="preserve"> for which the sponsor is considering sending a “Dear Healthcare Professional”</w:t>
      </w:r>
      <w:r w:rsidR="00D34417">
        <w:t xml:space="preserve"> (or DHCP) </w:t>
      </w:r>
      <w:r w:rsidR="00262FC3">
        <w:t>letter</w:t>
      </w:r>
      <w:r w:rsidR="00B75E1A">
        <w:t xml:space="preserve"> in any country where the medicine is being marketed</w:t>
      </w:r>
      <w:r w:rsidR="00262FC3">
        <w:t xml:space="preserve">. </w:t>
      </w:r>
    </w:p>
    <w:p w:rsidR="00262FC3" w:rsidRDefault="00262FC3" w:rsidP="00262FC3">
      <w:pPr>
        <w:spacing w:line="280" w:lineRule="atLeast"/>
        <w:rPr>
          <w:rFonts w:cs="Arial"/>
          <w:szCs w:val="22"/>
        </w:rPr>
      </w:pPr>
    </w:p>
    <w:p w:rsidR="00262FC3" w:rsidRPr="00EB048A" w:rsidRDefault="00CE5DED" w:rsidP="00262FC3">
      <w:pPr>
        <w:pStyle w:val="NoHeading2"/>
        <w:keepNext/>
        <w:spacing w:before="120"/>
        <w:ind w:left="1140" w:right="340" w:hanging="1140"/>
      </w:pPr>
      <w:bookmarkStart w:id="170" w:name="_Toc414346443"/>
      <w:bookmarkStart w:id="171" w:name="_Toc414522832"/>
      <w:r>
        <w:t>5</w:t>
      </w:r>
      <w:r w:rsidR="00262FC3" w:rsidRPr="00EB048A">
        <w:t>.</w:t>
      </w:r>
      <w:r w:rsidR="00262FC3">
        <w:t>3</w:t>
      </w:r>
      <w:r w:rsidR="00262FC3" w:rsidRPr="00EB048A">
        <w:tab/>
        <w:t>Timeframe for reporting significant safety issues</w:t>
      </w:r>
      <w:bookmarkEnd w:id="170"/>
      <w:bookmarkEnd w:id="171"/>
    </w:p>
    <w:p w:rsidR="00262FC3" w:rsidRDefault="00262FC3" w:rsidP="00262FC3"/>
    <w:p w:rsidR="00262FC3" w:rsidRDefault="004946D0" w:rsidP="00262FC3">
      <w:pPr>
        <w:spacing w:line="280" w:lineRule="atLeast"/>
        <w:rPr>
          <w:rFonts w:cs="Arial"/>
        </w:rPr>
      </w:pPr>
      <w:r>
        <w:rPr>
          <w:rFonts w:cs="Arial"/>
        </w:rPr>
        <w:t>Sponsors must report a</w:t>
      </w:r>
      <w:r w:rsidR="00262FC3" w:rsidRPr="0016273A">
        <w:rPr>
          <w:rFonts w:cs="Arial"/>
        </w:rPr>
        <w:t xml:space="preserve">ny </w:t>
      </w:r>
      <w:r w:rsidRPr="0016273A">
        <w:rPr>
          <w:rFonts w:cs="Arial"/>
        </w:rPr>
        <w:t>identified</w:t>
      </w:r>
      <w:r w:rsidRPr="007823AA">
        <w:rPr>
          <w:rFonts w:cs="Arial"/>
        </w:rPr>
        <w:t xml:space="preserve"> </w:t>
      </w:r>
      <w:r w:rsidR="00262FC3" w:rsidRPr="0016273A">
        <w:rPr>
          <w:rFonts w:cs="Arial"/>
        </w:rPr>
        <w:t xml:space="preserve">significant safety issue </w:t>
      </w:r>
      <w:r w:rsidR="00262FC3" w:rsidRPr="007823AA">
        <w:rPr>
          <w:rFonts w:cs="Arial"/>
        </w:rPr>
        <w:t xml:space="preserve">to Medsafe </w:t>
      </w:r>
      <w:r w:rsidR="00262FC3">
        <w:rPr>
          <w:rFonts w:cs="Arial"/>
        </w:rPr>
        <w:t xml:space="preserve">as soon as possible. This is generally within </w:t>
      </w:r>
      <w:r w:rsidR="00262FC3" w:rsidRPr="007823AA">
        <w:rPr>
          <w:rFonts w:cs="Arial"/>
        </w:rPr>
        <w:t>72 hours of awareness of the issue by the sponsor</w:t>
      </w:r>
      <w:r w:rsidR="00262FC3" w:rsidRPr="0048130D">
        <w:rPr>
          <w:rFonts w:cs="Arial"/>
        </w:rPr>
        <w:t xml:space="preserve"> </w:t>
      </w:r>
      <w:r w:rsidR="00D34417">
        <w:rPr>
          <w:rFonts w:cs="Arial"/>
        </w:rPr>
        <w:t>(</w:t>
      </w:r>
      <w:proofErr w:type="spellStart"/>
      <w:r w:rsidR="00D34417">
        <w:rPr>
          <w:rFonts w:cs="Arial"/>
        </w:rPr>
        <w:t>eg</w:t>
      </w:r>
      <w:proofErr w:type="spellEnd"/>
      <w:r w:rsidR="00262FC3">
        <w:rPr>
          <w:rFonts w:cs="Arial"/>
        </w:rPr>
        <w:t>,</w:t>
      </w:r>
      <w:r w:rsidR="00262FC3" w:rsidRPr="0048130D">
        <w:rPr>
          <w:rFonts w:cs="Arial"/>
        </w:rPr>
        <w:t xml:space="preserve"> from the time a </w:t>
      </w:r>
      <w:r w:rsidR="00262FC3">
        <w:rPr>
          <w:rFonts w:cs="Arial"/>
        </w:rPr>
        <w:t xml:space="preserve">sponsor </w:t>
      </w:r>
      <w:r w:rsidR="00262FC3" w:rsidRPr="0048130D">
        <w:rPr>
          <w:rFonts w:cs="Arial"/>
        </w:rPr>
        <w:t>conclu</w:t>
      </w:r>
      <w:r w:rsidR="00262FC3">
        <w:rPr>
          <w:rFonts w:cs="Arial"/>
        </w:rPr>
        <w:t xml:space="preserve">des </w:t>
      </w:r>
      <w:r w:rsidR="00262FC3" w:rsidRPr="0048130D">
        <w:rPr>
          <w:rFonts w:cs="Arial"/>
        </w:rPr>
        <w:t>after review of data</w:t>
      </w:r>
      <w:r w:rsidR="00262FC3">
        <w:rPr>
          <w:rFonts w:cs="Arial"/>
        </w:rPr>
        <w:t xml:space="preserve"> that </w:t>
      </w:r>
      <w:r w:rsidR="00262FC3" w:rsidRPr="0048130D">
        <w:rPr>
          <w:rFonts w:cs="Arial"/>
        </w:rPr>
        <w:t>a significant safety issue exists</w:t>
      </w:r>
      <w:r w:rsidR="00D34417">
        <w:rPr>
          <w:rFonts w:cs="Arial"/>
        </w:rPr>
        <w:t>)</w:t>
      </w:r>
      <w:r w:rsidR="00262FC3" w:rsidRPr="000B7A58">
        <w:rPr>
          <w:rFonts w:cs="Arial"/>
        </w:rPr>
        <w:t>.</w:t>
      </w:r>
      <w:r w:rsidR="00262FC3" w:rsidRPr="0017147F">
        <w:rPr>
          <w:rFonts w:cs="Arial"/>
        </w:rPr>
        <w:t xml:space="preserve"> </w:t>
      </w:r>
    </w:p>
    <w:p w:rsidR="005D491D" w:rsidRDefault="005D491D" w:rsidP="00262FC3">
      <w:pPr>
        <w:spacing w:line="280" w:lineRule="atLeast"/>
        <w:rPr>
          <w:rFonts w:cs="Arial"/>
        </w:rPr>
      </w:pPr>
    </w:p>
    <w:p w:rsidR="00D34417" w:rsidRDefault="005D491D" w:rsidP="00262FC3">
      <w:pPr>
        <w:spacing w:line="280" w:lineRule="atLeast"/>
        <w:rPr>
          <w:rFonts w:cs="Arial"/>
        </w:rPr>
      </w:pPr>
      <w:r>
        <w:rPr>
          <w:rFonts w:cs="Arial"/>
        </w:rPr>
        <w:t xml:space="preserve">Sponsors should provide as much information as possible when reporting to Medsafe. </w:t>
      </w:r>
    </w:p>
    <w:p w:rsidR="00D34417" w:rsidRDefault="00D34417" w:rsidP="00262FC3">
      <w:pPr>
        <w:spacing w:line="280" w:lineRule="atLeast"/>
        <w:rPr>
          <w:rFonts w:cs="Arial"/>
        </w:rPr>
      </w:pPr>
    </w:p>
    <w:p w:rsidR="00262FC3" w:rsidRPr="001A026C" w:rsidRDefault="005D491D" w:rsidP="00262FC3">
      <w:pPr>
        <w:spacing w:line="280" w:lineRule="atLeast"/>
        <w:rPr>
          <w:rFonts w:cs="Arial"/>
        </w:rPr>
      </w:pPr>
      <w:r>
        <w:rPr>
          <w:rFonts w:cs="Arial"/>
        </w:rPr>
        <w:t>S</w:t>
      </w:r>
      <w:r w:rsidR="00262FC3" w:rsidRPr="001A026C">
        <w:rPr>
          <w:rFonts w:cs="Arial"/>
        </w:rPr>
        <w:t xml:space="preserve">ponsors must provide any additional information to assist with the evaluation of the </w:t>
      </w:r>
      <w:r w:rsidR="00262FC3">
        <w:rPr>
          <w:rFonts w:cs="Arial"/>
        </w:rPr>
        <w:t xml:space="preserve">impact of the safety issue on the </w:t>
      </w:r>
      <w:r w:rsidR="00262FC3" w:rsidRPr="001A026C">
        <w:rPr>
          <w:rFonts w:cs="Arial"/>
        </w:rPr>
        <w:t>benefits and risks of the medicine</w:t>
      </w:r>
      <w:r w:rsidR="00755AE8">
        <w:rPr>
          <w:rFonts w:cs="Arial"/>
        </w:rPr>
        <w:t xml:space="preserve">, </w:t>
      </w:r>
      <w:r w:rsidR="00D34417">
        <w:rPr>
          <w:rFonts w:cs="Arial"/>
        </w:rPr>
        <w:t>when</w:t>
      </w:r>
      <w:r w:rsidR="00755AE8">
        <w:rPr>
          <w:rFonts w:cs="Arial"/>
        </w:rPr>
        <w:t xml:space="preserve"> request</w:t>
      </w:r>
      <w:r w:rsidR="00D34417">
        <w:rPr>
          <w:rFonts w:cs="Arial"/>
        </w:rPr>
        <w:t>ed</w:t>
      </w:r>
      <w:r w:rsidR="00755AE8">
        <w:rPr>
          <w:rFonts w:cs="Arial"/>
        </w:rPr>
        <w:t xml:space="preserve"> by Medsafe</w:t>
      </w:r>
      <w:r w:rsidR="00262FC3" w:rsidRPr="001A026C">
        <w:rPr>
          <w:rFonts w:cs="Arial"/>
        </w:rPr>
        <w:t>.</w:t>
      </w:r>
    </w:p>
    <w:p w:rsidR="00262FC3" w:rsidRDefault="00262FC3" w:rsidP="00262FC3">
      <w:pPr>
        <w:spacing w:line="280" w:lineRule="atLeast"/>
        <w:rPr>
          <w:rFonts w:cs="Arial"/>
          <w:szCs w:val="22"/>
        </w:rPr>
      </w:pPr>
    </w:p>
    <w:p w:rsidR="00262FC3" w:rsidRDefault="00262FC3" w:rsidP="00262FC3">
      <w:pPr>
        <w:spacing w:line="280" w:lineRule="atLeast"/>
        <w:rPr>
          <w:szCs w:val="22"/>
        </w:rPr>
      </w:pPr>
    </w:p>
    <w:p w:rsidR="00262FC3" w:rsidRPr="00EB048A" w:rsidRDefault="00CE5DED" w:rsidP="00262FC3">
      <w:pPr>
        <w:pStyle w:val="NoHeading2"/>
        <w:keepNext/>
        <w:spacing w:before="120"/>
        <w:ind w:left="1140" w:right="340" w:hanging="1140"/>
      </w:pPr>
      <w:bookmarkStart w:id="172" w:name="_Toc414346444"/>
      <w:bookmarkStart w:id="173" w:name="_Toc414522833"/>
      <w:r>
        <w:t>5</w:t>
      </w:r>
      <w:r w:rsidR="00262FC3" w:rsidRPr="00EB048A">
        <w:t>.</w:t>
      </w:r>
      <w:r w:rsidR="00262FC3">
        <w:t>4</w:t>
      </w:r>
      <w:r w:rsidR="00262FC3" w:rsidRPr="00EB048A">
        <w:tab/>
      </w:r>
      <w:r w:rsidR="00262FC3">
        <w:t>How</w:t>
      </w:r>
      <w:r w:rsidR="00262FC3" w:rsidRPr="00EB048A">
        <w:t xml:space="preserve"> to report</w:t>
      </w:r>
      <w:bookmarkEnd w:id="172"/>
      <w:bookmarkEnd w:id="173"/>
    </w:p>
    <w:p w:rsidR="00262FC3" w:rsidRDefault="00262FC3" w:rsidP="00262FC3">
      <w:pPr>
        <w:spacing w:line="280" w:lineRule="atLeast"/>
        <w:rPr>
          <w:szCs w:val="22"/>
        </w:rPr>
      </w:pPr>
    </w:p>
    <w:p w:rsidR="00262FC3" w:rsidRDefault="00262FC3" w:rsidP="00262FC3">
      <w:pPr>
        <w:spacing w:line="280" w:lineRule="atLeast"/>
        <w:rPr>
          <w:szCs w:val="22"/>
        </w:rPr>
      </w:pPr>
      <w:r>
        <w:rPr>
          <w:szCs w:val="22"/>
        </w:rPr>
        <w:t>Significant safety issues should be reported to</w:t>
      </w:r>
      <w:r w:rsidR="00755AE8">
        <w:rPr>
          <w:szCs w:val="22"/>
        </w:rPr>
        <w:t xml:space="preserve"> Medsafe</w:t>
      </w:r>
      <w:r>
        <w:rPr>
          <w:szCs w:val="22"/>
        </w:rPr>
        <w:t>:</w:t>
      </w:r>
    </w:p>
    <w:p w:rsidR="00262FC3" w:rsidRDefault="00262FC3" w:rsidP="00262FC3">
      <w:pPr>
        <w:spacing w:line="280" w:lineRule="atLeast"/>
        <w:rPr>
          <w:szCs w:val="22"/>
        </w:rPr>
      </w:pPr>
    </w:p>
    <w:p w:rsidR="00262FC3" w:rsidRDefault="00262FC3" w:rsidP="00262FC3">
      <w:pPr>
        <w:tabs>
          <w:tab w:val="left" w:pos="1418"/>
        </w:tabs>
        <w:rPr>
          <w:rFonts w:cs="Arial"/>
          <w:szCs w:val="22"/>
        </w:rPr>
      </w:pPr>
      <w:r w:rsidRPr="00E64A62">
        <w:rPr>
          <w:rFonts w:cs="Arial"/>
          <w:szCs w:val="22"/>
        </w:rPr>
        <w:t>P</w:t>
      </w:r>
      <w:r w:rsidR="004946D0">
        <w:rPr>
          <w:rFonts w:cs="Arial"/>
          <w:szCs w:val="22"/>
        </w:rPr>
        <w:t>ost</w:t>
      </w:r>
      <w:r w:rsidRPr="00E64A62">
        <w:rPr>
          <w:rFonts w:cs="Arial"/>
          <w:szCs w:val="22"/>
        </w:rPr>
        <w:tab/>
      </w:r>
      <w:r>
        <w:rPr>
          <w:rFonts w:cs="Arial"/>
          <w:szCs w:val="22"/>
        </w:rPr>
        <w:t>Clinical Risk</w:t>
      </w:r>
      <w:r w:rsidRPr="00E64A62">
        <w:rPr>
          <w:rFonts w:cs="Arial"/>
          <w:szCs w:val="22"/>
        </w:rPr>
        <w:t xml:space="preserve"> Management Branch</w:t>
      </w:r>
    </w:p>
    <w:p w:rsidR="00262FC3" w:rsidRDefault="00262FC3" w:rsidP="00262FC3">
      <w:pPr>
        <w:tabs>
          <w:tab w:val="left" w:pos="1418"/>
        </w:tabs>
        <w:rPr>
          <w:rFonts w:cs="Arial"/>
          <w:szCs w:val="22"/>
        </w:rPr>
      </w:pPr>
      <w:r>
        <w:rPr>
          <w:rFonts w:cs="Arial"/>
          <w:szCs w:val="22"/>
        </w:rPr>
        <w:tab/>
      </w:r>
      <w:r w:rsidRPr="00E64A62">
        <w:rPr>
          <w:rFonts w:cs="Arial"/>
          <w:szCs w:val="22"/>
        </w:rPr>
        <w:t>Medsafe</w:t>
      </w:r>
    </w:p>
    <w:p w:rsidR="00262FC3" w:rsidRDefault="00262FC3" w:rsidP="00262FC3">
      <w:pPr>
        <w:tabs>
          <w:tab w:val="left" w:pos="1418"/>
        </w:tabs>
        <w:rPr>
          <w:rFonts w:cs="Arial"/>
          <w:szCs w:val="22"/>
        </w:rPr>
      </w:pPr>
      <w:r>
        <w:rPr>
          <w:rFonts w:cs="Arial"/>
          <w:szCs w:val="22"/>
        </w:rPr>
        <w:tab/>
      </w:r>
      <w:r w:rsidRPr="00E64A62">
        <w:rPr>
          <w:rFonts w:cs="Arial"/>
          <w:szCs w:val="22"/>
        </w:rPr>
        <w:t>PO Box 5013</w:t>
      </w:r>
    </w:p>
    <w:p w:rsidR="00262FC3" w:rsidRPr="00E64A62" w:rsidRDefault="00262FC3" w:rsidP="00262FC3">
      <w:pPr>
        <w:tabs>
          <w:tab w:val="left" w:pos="1418"/>
        </w:tabs>
        <w:rPr>
          <w:rFonts w:cs="Arial"/>
          <w:szCs w:val="22"/>
        </w:rPr>
      </w:pPr>
      <w:r>
        <w:rPr>
          <w:rFonts w:cs="Arial"/>
          <w:szCs w:val="22"/>
        </w:rPr>
        <w:tab/>
        <w:t>Wellington 6415</w:t>
      </w:r>
    </w:p>
    <w:p w:rsidR="00262FC3" w:rsidRDefault="00262FC3" w:rsidP="00262FC3">
      <w:pPr>
        <w:spacing w:line="280" w:lineRule="atLeast"/>
      </w:pPr>
    </w:p>
    <w:p w:rsidR="00262FC3" w:rsidRDefault="00262FC3" w:rsidP="00262FC3">
      <w:pPr>
        <w:tabs>
          <w:tab w:val="left" w:pos="1418"/>
        </w:tabs>
        <w:spacing w:after="120"/>
        <w:rPr>
          <w:rFonts w:cs="Arial"/>
          <w:szCs w:val="22"/>
        </w:rPr>
      </w:pPr>
      <w:r w:rsidRPr="00E64A62">
        <w:rPr>
          <w:rFonts w:cs="Arial"/>
          <w:szCs w:val="22"/>
        </w:rPr>
        <w:t>F</w:t>
      </w:r>
      <w:r w:rsidR="004946D0">
        <w:rPr>
          <w:rFonts w:cs="Arial"/>
          <w:szCs w:val="22"/>
        </w:rPr>
        <w:t>ax</w:t>
      </w:r>
      <w:r w:rsidRPr="00E64A62">
        <w:rPr>
          <w:rFonts w:cs="Arial"/>
          <w:szCs w:val="22"/>
        </w:rPr>
        <w:tab/>
        <w:t>+</w:t>
      </w:r>
      <w:r>
        <w:rPr>
          <w:rFonts w:cs="Arial"/>
          <w:szCs w:val="22"/>
        </w:rPr>
        <w:t xml:space="preserve"> 64 (04) 819 6806</w:t>
      </w:r>
    </w:p>
    <w:p w:rsidR="00D34417" w:rsidRDefault="00D34417" w:rsidP="00262FC3">
      <w:pPr>
        <w:tabs>
          <w:tab w:val="left" w:pos="1418"/>
        </w:tabs>
        <w:spacing w:after="120"/>
        <w:rPr>
          <w:rFonts w:cs="Arial"/>
          <w:szCs w:val="22"/>
        </w:rPr>
      </w:pPr>
      <w:r>
        <w:rPr>
          <w:rFonts w:cs="Arial"/>
          <w:szCs w:val="22"/>
        </w:rPr>
        <w:t>Telephone</w:t>
      </w:r>
      <w:r>
        <w:rPr>
          <w:rFonts w:cs="Arial"/>
          <w:szCs w:val="22"/>
        </w:rPr>
        <w:tab/>
        <w:t>+ 64 (04) 819 6800</w:t>
      </w:r>
    </w:p>
    <w:p w:rsidR="00262FC3" w:rsidRPr="00E64A62" w:rsidRDefault="00262FC3" w:rsidP="00262FC3">
      <w:pPr>
        <w:tabs>
          <w:tab w:val="left" w:pos="1418"/>
        </w:tabs>
        <w:rPr>
          <w:rFonts w:cs="Arial"/>
          <w:szCs w:val="22"/>
        </w:rPr>
      </w:pPr>
      <w:r>
        <w:rPr>
          <w:rFonts w:cs="Arial"/>
          <w:szCs w:val="22"/>
        </w:rPr>
        <w:t>Email</w:t>
      </w:r>
      <w:r>
        <w:rPr>
          <w:rFonts w:cs="Arial"/>
          <w:szCs w:val="22"/>
        </w:rPr>
        <w:tab/>
      </w:r>
      <w:hyperlink r:id="rId44" w:history="1">
        <w:r w:rsidR="00B75E1A" w:rsidRPr="00B75E1A">
          <w:rPr>
            <w:rStyle w:val="Hyperlink"/>
            <w:sz w:val="22"/>
            <w:szCs w:val="22"/>
          </w:rPr>
          <w:t>medsafeadrquery@moh.govt.nz</w:t>
        </w:r>
      </w:hyperlink>
    </w:p>
    <w:p w:rsidR="00262FC3" w:rsidRDefault="00262FC3" w:rsidP="00262FC3">
      <w:pPr>
        <w:spacing w:line="280" w:lineRule="atLeast"/>
        <w:rPr>
          <w:szCs w:val="22"/>
        </w:rPr>
      </w:pPr>
    </w:p>
    <w:p w:rsidR="00755AE8" w:rsidRDefault="00755AE8" w:rsidP="00D0130E">
      <w:pPr>
        <w:spacing w:line="280" w:lineRule="atLeast"/>
        <w:rPr>
          <w:szCs w:val="22"/>
        </w:rPr>
      </w:pPr>
      <w:proofErr w:type="spellStart"/>
      <w:r>
        <w:rPr>
          <w:szCs w:val="22"/>
        </w:rPr>
        <w:t>Medsafe’s</w:t>
      </w:r>
      <w:proofErr w:type="spellEnd"/>
      <w:r>
        <w:rPr>
          <w:szCs w:val="22"/>
        </w:rPr>
        <w:t xml:space="preserve"> p</w:t>
      </w:r>
      <w:r w:rsidR="00274B14">
        <w:rPr>
          <w:szCs w:val="22"/>
        </w:rPr>
        <w:t>reference is for reporting via e</w:t>
      </w:r>
      <w:r>
        <w:rPr>
          <w:szCs w:val="22"/>
        </w:rPr>
        <w:t xml:space="preserve">mail. </w:t>
      </w:r>
    </w:p>
    <w:p w:rsidR="00755AE8" w:rsidRDefault="00755AE8" w:rsidP="00D0130E">
      <w:pPr>
        <w:spacing w:line="280" w:lineRule="atLeast"/>
        <w:rPr>
          <w:szCs w:val="22"/>
        </w:rPr>
      </w:pPr>
    </w:p>
    <w:p w:rsidR="004946D0" w:rsidRDefault="004946D0" w:rsidP="004946D0">
      <w:pPr>
        <w:spacing w:line="280" w:lineRule="atLeast"/>
        <w:rPr>
          <w:szCs w:val="22"/>
        </w:rPr>
      </w:pPr>
      <w:r>
        <w:rPr>
          <w:szCs w:val="22"/>
        </w:rPr>
        <w:t xml:space="preserve">Do </w:t>
      </w:r>
      <w:r w:rsidRPr="00755AE8">
        <w:rPr>
          <w:szCs w:val="22"/>
          <w:u w:val="single"/>
        </w:rPr>
        <w:t>NOT</w:t>
      </w:r>
      <w:r>
        <w:rPr>
          <w:szCs w:val="22"/>
        </w:rPr>
        <w:t xml:space="preserve"> report significant safety issues identified with a medicine to CARM.</w:t>
      </w:r>
    </w:p>
    <w:p w:rsidR="00DB50E6" w:rsidRDefault="00DB50E6" w:rsidP="00D0130E">
      <w:pPr>
        <w:spacing w:line="280" w:lineRule="atLeast"/>
        <w:rPr>
          <w:szCs w:val="22"/>
        </w:rPr>
      </w:pPr>
    </w:p>
    <w:p w:rsidR="00755AE8" w:rsidRDefault="00755AE8" w:rsidP="00D0130E">
      <w:pPr>
        <w:spacing w:line="280" w:lineRule="atLeast"/>
        <w:rPr>
          <w:szCs w:val="22"/>
        </w:rPr>
      </w:pPr>
    </w:p>
    <w:p w:rsidR="00755AE8" w:rsidRPr="00D0130E" w:rsidRDefault="00755AE8" w:rsidP="00D0130E">
      <w:pPr>
        <w:spacing w:line="280" w:lineRule="atLeast"/>
        <w:rPr>
          <w:szCs w:val="22"/>
        </w:rPr>
      </w:pPr>
    </w:p>
    <w:p w:rsidR="00755AE8" w:rsidRDefault="00755AE8">
      <w:pPr>
        <w:rPr>
          <w:rFonts w:cs="Arial"/>
          <w:b/>
          <w:color w:val="008080"/>
          <w:sz w:val="36"/>
          <w:szCs w:val="22"/>
        </w:rPr>
      </w:pPr>
      <w:r>
        <w:rPr>
          <w:szCs w:val="22"/>
        </w:rPr>
        <w:br w:type="page"/>
      </w:r>
    </w:p>
    <w:p w:rsidR="00732BAC" w:rsidRPr="0086572A" w:rsidRDefault="001B0676" w:rsidP="00B75E1A">
      <w:pPr>
        <w:pStyle w:val="NoHeading1"/>
        <w:spacing w:after="0" w:line="280" w:lineRule="atLeast"/>
        <w:ind w:left="2268" w:right="340" w:hanging="2268"/>
      </w:pPr>
      <w:bookmarkStart w:id="174" w:name="_Toc414346445"/>
      <w:bookmarkStart w:id="175" w:name="_Toc414522834"/>
      <w:r>
        <w:rPr>
          <w:szCs w:val="22"/>
        </w:rPr>
        <w:t xml:space="preserve">Section </w:t>
      </w:r>
      <w:r w:rsidR="00192F2A">
        <w:rPr>
          <w:szCs w:val="22"/>
        </w:rPr>
        <w:t>6</w:t>
      </w:r>
      <w:r w:rsidR="00732BAC">
        <w:rPr>
          <w:szCs w:val="22"/>
        </w:rPr>
        <w:t>:</w:t>
      </w:r>
      <w:r w:rsidR="00732BAC">
        <w:rPr>
          <w:szCs w:val="22"/>
        </w:rPr>
        <w:tab/>
      </w:r>
      <w:r w:rsidR="00B75E1A">
        <w:t xml:space="preserve">Submission of </w:t>
      </w:r>
      <w:r w:rsidR="002210F4">
        <w:t>S</w:t>
      </w:r>
      <w:r w:rsidR="00B75E1A">
        <w:t xml:space="preserve">afety </w:t>
      </w:r>
      <w:r w:rsidR="002210F4">
        <w:t>M</w:t>
      </w:r>
      <w:r w:rsidR="00B75E1A">
        <w:t xml:space="preserve">onitoring </w:t>
      </w:r>
      <w:r w:rsidR="002210F4">
        <w:t>D</w:t>
      </w:r>
      <w:r w:rsidR="00B75E1A">
        <w:t>ocuments</w:t>
      </w:r>
      <w:bookmarkEnd w:id="174"/>
      <w:bookmarkEnd w:id="175"/>
      <w:r w:rsidR="00732BAC">
        <w:t xml:space="preserve"> </w:t>
      </w:r>
    </w:p>
    <w:p w:rsidR="000B7A58" w:rsidRDefault="000B7A58" w:rsidP="008E20AE"/>
    <w:p w:rsidR="00DB50E6" w:rsidRPr="0086572A" w:rsidRDefault="00DB50E6" w:rsidP="008E20AE"/>
    <w:p w:rsidR="0086572A" w:rsidRDefault="0086572A" w:rsidP="0086572A">
      <w:pPr>
        <w:pBdr>
          <w:top w:val="single" w:sz="4" w:space="0" w:color="auto"/>
          <w:left w:val="single" w:sz="4" w:space="4" w:color="auto"/>
          <w:bottom w:val="single" w:sz="4" w:space="1" w:color="auto"/>
          <w:right w:val="single" w:sz="4" w:space="4" w:color="auto"/>
        </w:pBdr>
        <w:ind w:right="340"/>
        <w:rPr>
          <w:rStyle w:val="NormalBoldTeal"/>
        </w:rPr>
      </w:pPr>
    </w:p>
    <w:p w:rsidR="0086572A" w:rsidRDefault="0086572A" w:rsidP="00DB50E6">
      <w:pPr>
        <w:pBdr>
          <w:top w:val="single" w:sz="4" w:space="0" w:color="auto"/>
          <w:left w:val="single" w:sz="4" w:space="4" w:color="auto"/>
          <w:bottom w:val="single" w:sz="4" w:space="1" w:color="auto"/>
          <w:right w:val="single" w:sz="4" w:space="4" w:color="auto"/>
        </w:pBdr>
        <w:spacing w:after="120"/>
        <w:ind w:right="340"/>
        <w:rPr>
          <w:rStyle w:val="NormalBoldTeal"/>
          <w:sz w:val="24"/>
        </w:rPr>
      </w:pPr>
      <w:r w:rsidRPr="00557EA4">
        <w:rPr>
          <w:rStyle w:val="NormalBoldTeal"/>
          <w:sz w:val="24"/>
        </w:rPr>
        <w:t>Section summary</w:t>
      </w:r>
    </w:p>
    <w:p w:rsidR="0086572A" w:rsidRPr="0005336D" w:rsidRDefault="0086572A" w:rsidP="0086572A">
      <w:pPr>
        <w:pBdr>
          <w:top w:val="single" w:sz="4" w:space="0" w:color="auto"/>
          <w:left w:val="single" w:sz="4" w:space="4" w:color="auto"/>
          <w:bottom w:val="single" w:sz="4" w:space="1" w:color="auto"/>
          <w:right w:val="single" w:sz="4" w:space="4" w:color="auto"/>
        </w:pBdr>
        <w:spacing w:line="280" w:lineRule="atLeast"/>
        <w:ind w:right="340"/>
        <w:rPr>
          <w:rStyle w:val="NormalBoldTeal"/>
          <w:rFonts w:cs="Arial"/>
          <w:b w:val="0"/>
          <w:i/>
          <w:color w:val="auto"/>
          <w:szCs w:val="22"/>
        </w:rPr>
      </w:pPr>
      <w:r w:rsidRPr="0005336D">
        <w:rPr>
          <w:rStyle w:val="NormalBoldTeal"/>
          <w:rFonts w:cs="Arial"/>
          <w:b w:val="0"/>
          <w:i/>
          <w:color w:val="auto"/>
          <w:szCs w:val="22"/>
        </w:rPr>
        <w:t xml:space="preserve">This section provides information on </w:t>
      </w:r>
      <w:proofErr w:type="spellStart"/>
      <w:r w:rsidR="00D0130E">
        <w:rPr>
          <w:rStyle w:val="NormalBoldTeal"/>
          <w:rFonts w:cs="Arial"/>
          <w:b w:val="0"/>
          <w:i/>
          <w:color w:val="auto"/>
          <w:szCs w:val="22"/>
        </w:rPr>
        <w:t>Medsafe’s</w:t>
      </w:r>
      <w:proofErr w:type="spellEnd"/>
      <w:r w:rsidR="00D0130E">
        <w:rPr>
          <w:rStyle w:val="NormalBoldTeal"/>
          <w:rFonts w:cs="Arial"/>
          <w:b w:val="0"/>
          <w:i/>
          <w:color w:val="auto"/>
          <w:szCs w:val="22"/>
        </w:rPr>
        <w:t xml:space="preserve"> </w:t>
      </w:r>
      <w:r w:rsidR="00B75E1A">
        <w:rPr>
          <w:rStyle w:val="NormalBoldTeal"/>
          <w:rFonts w:cs="Arial"/>
          <w:b w:val="0"/>
          <w:i/>
          <w:color w:val="auto"/>
          <w:szCs w:val="22"/>
        </w:rPr>
        <w:t xml:space="preserve">routine </w:t>
      </w:r>
      <w:r w:rsidR="00D0130E">
        <w:rPr>
          <w:rStyle w:val="NormalBoldTeal"/>
          <w:rFonts w:cs="Arial"/>
          <w:b w:val="0"/>
          <w:i/>
          <w:color w:val="auto"/>
          <w:szCs w:val="22"/>
        </w:rPr>
        <w:t>safety reporting requirements</w:t>
      </w:r>
      <w:r w:rsidR="00755AE8">
        <w:rPr>
          <w:rStyle w:val="NormalBoldTeal"/>
          <w:rFonts w:cs="Arial"/>
          <w:b w:val="0"/>
          <w:i/>
          <w:color w:val="auto"/>
          <w:szCs w:val="22"/>
        </w:rPr>
        <w:t xml:space="preserve"> for providing Periodic Benefit Risk Evaluation Report (PBRERs) and Risk Management Plans (RMPs)</w:t>
      </w:r>
      <w:r w:rsidR="00D0130E">
        <w:rPr>
          <w:rStyle w:val="NormalBoldTeal"/>
          <w:rFonts w:cs="Arial"/>
          <w:b w:val="0"/>
          <w:i/>
          <w:color w:val="auto"/>
          <w:szCs w:val="22"/>
        </w:rPr>
        <w:t>.</w:t>
      </w:r>
    </w:p>
    <w:p w:rsidR="0086572A" w:rsidRPr="00186D8B" w:rsidRDefault="0086572A" w:rsidP="0086572A">
      <w:pPr>
        <w:pBdr>
          <w:top w:val="single" w:sz="4" w:space="0" w:color="auto"/>
          <w:left w:val="single" w:sz="4" w:space="4" w:color="auto"/>
          <w:bottom w:val="single" w:sz="4" w:space="1" w:color="auto"/>
          <w:right w:val="single" w:sz="4" w:space="4" w:color="auto"/>
        </w:pBdr>
        <w:ind w:right="340"/>
        <w:rPr>
          <w:rStyle w:val="NormalBoldTeal"/>
          <w:b w:val="0"/>
          <w:color w:val="auto"/>
          <w:szCs w:val="22"/>
        </w:rPr>
      </w:pPr>
    </w:p>
    <w:p w:rsidR="00295E73" w:rsidRDefault="00295E73" w:rsidP="0086572A"/>
    <w:p w:rsidR="0046421E" w:rsidRDefault="009F42FC" w:rsidP="00C54B93">
      <w:pPr>
        <w:pStyle w:val="NoHeading2"/>
        <w:keepNext/>
        <w:spacing w:before="120"/>
        <w:ind w:right="340"/>
      </w:pPr>
      <w:bookmarkStart w:id="176" w:name="_Toc414346446"/>
      <w:bookmarkStart w:id="177" w:name="_Toc414522835"/>
      <w:r>
        <w:t>6</w:t>
      </w:r>
      <w:r w:rsidR="00C54B93">
        <w:t>.1</w:t>
      </w:r>
      <w:r w:rsidR="00C54B93">
        <w:tab/>
      </w:r>
      <w:r w:rsidR="0046421E">
        <w:t>Introduction</w:t>
      </w:r>
      <w:bookmarkEnd w:id="176"/>
      <w:bookmarkEnd w:id="177"/>
    </w:p>
    <w:p w:rsidR="0046421E" w:rsidRDefault="0046421E" w:rsidP="008E20AE"/>
    <w:p w:rsidR="000B7A58" w:rsidRDefault="00C54B93" w:rsidP="008E20AE">
      <w:r>
        <w:t>A</w:t>
      </w:r>
      <w:r w:rsidR="000B7A58" w:rsidRPr="000B7A58">
        <w:t xml:space="preserve"> </w:t>
      </w:r>
      <w:r w:rsidR="0046421E">
        <w:t>Periodic Benefit Risk Evaluation Report (</w:t>
      </w:r>
      <w:r w:rsidR="000B7A58" w:rsidRPr="000B7A58">
        <w:t>PBRER</w:t>
      </w:r>
      <w:r w:rsidR="0046421E">
        <w:t>)</w:t>
      </w:r>
      <w:r w:rsidR="000B7A58" w:rsidRPr="000B7A58">
        <w:t xml:space="preserve"> </w:t>
      </w:r>
      <w:r w:rsidR="00815A98">
        <w:t>is</w:t>
      </w:r>
      <w:r w:rsidR="000B7A58" w:rsidRPr="000B7A58">
        <w:t xml:space="preserve"> a comprehensive, concise, and critical analysis of new or emerging information on the risks </w:t>
      </w:r>
      <w:r w:rsidR="00483952">
        <w:t xml:space="preserve">and benefits </w:t>
      </w:r>
      <w:r w:rsidR="000B7A58" w:rsidRPr="000B7A58">
        <w:t xml:space="preserve">of </w:t>
      </w:r>
      <w:r w:rsidR="00483952">
        <w:t>a</w:t>
      </w:r>
      <w:r w:rsidR="000B7A58" w:rsidRPr="000B7A58">
        <w:t xml:space="preserve"> medicin</w:t>
      </w:r>
      <w:r w:rsidR="00483952">
        <w:t>e</w:t>
      </w:r>
      <w:r w:rsidR="00815A98">
        <w:t xml:space="preserve"> </w:t>
      </w:r>
      <w:r w:rsidR="00755AE8">
        <w:t>compiled</w:t>
      </w:r>
      <w:r w:rsidR="00815A98">
        <w:t xml:space="preserve"> by </w:t>
      </w:r>
      <w:r w:rsidR="00755AE8">
        <w:t>the</w:t>
      </w:r>
      <w:r w:rsidR="00815A98">
        <w:t xml:space="preserve"> sponsor</w:t>
      </w:r>
      <w:r w:rsidR="00755AE8">
        <w:t>.</w:t>
      </w:r>
      <w:r w:rsidR="00815A98">
        <w:t xml:space="preserve"> </w:t>
      </w:r>
      <w:r w:rsidR="00B75E1A">
        <w:t>The PBRER replaces the PSUR (Periodic Safety Update Report).</w:t>
      </w:r>
    </w:p>
    <w:p w:rsidR="00C54B93" w:rsidRDefault="00C54B93" w:rsidP="008E20AE"/>
    <w:p w:rsidR="000B7A58" w:rsidRDefault="00D34417" w:rsidP="008E20AE">
      <w:r>
        <w:t>These on</w:t>
      </w:r>
      <w:r w:rsidR="00815A98">
        <w:t xml:space="preserve">going appraisals aid both the sponsor and the regulator in maintaining confidence in the benefit-risk balance of the medicine based on the regulatory options currently imposed </w:t>
      </w:r>
      <w:r>
        <w:t xml:space="preserve">(such as approved indications, warnings, labelling) </w:t>
      </w:r>
      <w:r w:rsidR="00815A98">
        <w:t xml:space="preserve">and </w:t>
      </w:r>
      <w:r>
        <w:t xml:space="preserve">those yet </w:t>
      </w:r>
      <w:r w:rsidR="00815A98">
        <w:t>available</w:t>
      </w:r>
      <w:r>
        <w:t xml:space="preserve"> (</w:t>
      </w:r>
      <w:proofErr w:type="spellStart"/>
      <w:r>
        <w:t>eg</w:t>
      </w:r>
      <w:proofErr w:type="spellEnd"/>
      <w:r>
        <w:t>, limiting the indications, expanding warnings and precautions, creating contraindications, rescheduling</w:t>
      </w:r>
      <w:r w:rsidR="00274B14">
        <w:t xml:space="preserve">, </w:t>
      </w:r>
      <w:proofErr w:type="spellStart"/>
      <w:r w:rsidR="00274B14">
        <w:t>relabel</w:t>
      </w:r>
      <w:r w:rsidR="00ED77FF">
        <w:t>l</w:t>
      </w:r>
      <w:r w:rsidR="00274B14">
        <w:t>ing</w:t>
      </w:r>
      <w:proofErr w:type="spellEnd"/>
      <w:r w:rsidR="00B21C48">
        <w:t xml:space="preserve"> or restricting use to a subset of the population</w:t>
      </w:r>
      <w:r>
        <w:t>)</w:t>
      </w:r>
      <w:r w:rsidR="00815A98">
        <w:t>.</w:t>
      </w:r>
    </w:p>
    <w:p w:rsidR="00815A98" w:rsidRDefault="00815A98" w:rsidP="008E20AE"/>
    <w:p w:rsidR="000B4493" w:rsidRDefault="0046421E" w:rsidP="008E20AE">
      <w:r>
        <w:rPr>
          <w:szCs w:val="22"/>
        </w:rPr>
        <w:t xml:space="preserve">Medsafe recommends that sponsors follow the guidance </w:t>
      </w:r>
      <w:r w:rsidR="00274B14">
        <w:t xml:space="preserve">in relation to PBRERs found </w:t>
      </w:r>
      <w:r w:rsidR="00483952">
        <w:t xml:space="preserve">in the </w:t>
      </w:r>
      <w:r w:rsidR="0017147F" w:rsidRPr="004946D0">
        <w:t xml:space="preserve">ICH guideline </w:t>
      </w:r>
      <w:r w:rsidR="00420A05" w:rsidRPr="00420A05">
        <w:rPr>
          <w:i/>
        </w:rPr>
        <w:t>ICH</w:t>
      </w:r>
      <w:r w:rsidR="00420A05">
        <w:t xml:space="preserve"> </w:t>
      </w:r>
      <w:r w:rsidR="0017147F" w:rsidRPr="00274B14">
        <w:rPr>
          <w:i/>
        </w:rPr>
        <w:t>E2C (R2)</w:t>
      </w:r>
      <w:r w:rsidR="00483952">
        <w:t xml:space="preserve"> </w:t>
      </w:r>
      <w:r w:rsidR="004946D0">
        <w:t>(</w:t>
      </w:r>
      <w:hyperlink r:id="rId45" w:history="1">
        <w:r w:rsidR="004946D0" w:rsidRPr="00640754">
          <w:rPr>
            <w:rStyle w:val="Hyperlink"/>
            <w:sz w:val="22"/>
          </w:rPr>
          <w:t>www.ich.org/fileadmin/Public_Web_Site/ICH_Products/Guidelines/Efficacy/E2C/E2C_R2_Step4.pdf</w:t>
        </w:r>
      </w:hyperlink>
      <w:proofErr w:type="gramStart"/>
      <w:r w:rsidR="004946D0">
        <w:t>)</w:t>
      </w:r>
      <w:r w:rsidR="00B75E1A">
        <w:t xml:space="preserve"> </w:t>
      </w:r>
      <w:r w:rsidR="003F4EE4">
        <w:t>.</w:t>
      </w:r>
      <w:proofErr w:type="gramEnd"/>
      <w:r w:rsidR="00B75E1A">
        <w:t xml:space="preserve"> </w:t>
      </w:r>
    </w:p>
    <w:p w:rsidR="000B4493" w:rsidRDefault="000B4493" w:rsidP="008E20AE"/>
    <w:p w:rsidR="007823AA" w:rsidRDefault="007823AA" w:rsidP="008E20AE"/>
    <w:p w:rsidR="00815A98" w:rsidRDefault="009F42FC" w:rsidP="00B75E1A">
      <w:pPr>
        <w:pStyle w:val="NoHeading2"/>
        <w:keepNext/>
        <w:spacing w:before="120"/>
        <w:ind w:right="340"/>
      </w:pPr>
      <w:bookmarkStart w:id="178" w:name="_Toc414346447"/>
      <w:bookmarkStart w:id="179" w:name="_Toc414522836"/>
      <w:r>
        <w:t>6</w:t>
      </w:r>
      <w:r w:rsidR="00815A98">
        <w:t>.2</w:t>
      </w:r>
      <w:r w:rsidR="00815A98">
        <w:tab/>
        <w:t>Submission of PBRE</w:t>
      </w:r>
      <w:r w:rsidR="00B75E1A">
        <w:t>Rs</w:t>
      </w:r>
      <w:bookmarkEnd w:id="178"/>
      <w:bookmarkEnd w:id="179"/>
    </w:p>
    <w:p w:rsidR="00815A98" w:rsidRDefault="00815A98" w:rsidP="008E20AE"/>
    <w:p w:rsidR="002003B8" w:rsidRDefault="00D0130E" w:rsidP="002003B8">
      <w:pPr>
        <w:spacing w:line="280" w:lineRule="atLeast"/>
        <w:rPr>
          <w:rFonts w:cs="Arial"/>
          <w:szCs w:val="22"/>
        </w:rPr>
      </w:pPr>
      <w:r w:rsidRPr="00100D7E">
        <w:rPr>
          <w:rFonts w:cs="Arial"/>
          <w:szCs w:val="22"/>
        </w:rPr>
        <w:t>Medsafe does not require routine submission of P</w:t>
      </w:r>
      <w:r>
        <w:rPr>
          <w:rFonts w:cs="Arial"/>
          <w:szCs w:val="22"/>
        </w:rPr>
        <w:t>BRE</w:t>
      </w:r>
      <w:r w:rsidR="002003B8">
        <w:rPr>
          <w:rFonts w:cs="Arial"/>
          <w:szCs w:val="22"/>
        </w:rPr>
        <w:t>Rs for most medicines. The types of medicines for which PBRERs should routinely be submitted are:</w:t>
      </w:r>
    </w:p>
    <w:p w:rsidR="002003B8" w:rsidRPr="00A964A0" w:rsidRDefault="003F4EE4" w:rsidP="002003B8">
      <w:pPr>
        <w:pStyle w:val="ListBullet"/>
      </w:pPr>
      <w:r>
        <w:t>a</w:t>
      </w:r>
      <w:r w:rsidR="002003B8" w:rsidRPr="00A964A0">
        <w:t>ll biologicals</w:t>
      </w:r>
    </w:p>
    <w:p w:rsidR="002003B8" w:rsidRPr="00A964A0" w:rsidRDefault="003F4EE4" w:rsidP="002003B8">
      <w:pPr>
        <w:pStyle w:val="ListBullet"/>
      </w:pPr>
      <w:r>
        <w:t>a</w:t>
      </w:r>
      <w:r w:rsidR="002003B8" w:rsidRPr="00A964A0">
        <w:t xml:space="preserve">ll </w:t>
      </w:r>
      <w:proofErr w:type="spellStart"/>
      <w:r w:rsidR="002003B8" w:rsidRPr="00A964A0">
        <w:t>biosimilars</w:t>
      </w:r>
      <w:proofErr w:type="spellEnd"/>
    </w:p>
    <w:p w:rsidR="002003B8" w:rsidRPr="00A964A0" w:rsidRDefault="003F4EE4" w:rsidP="002003B8">
      <w:pPr>
        <w:pStyle w:val="ListBullet"/>
      </w:pPr>
      <w:proofErr w:type="gramStart"/>
      <w:r>
        <w:t>a</w:t>
      </w:r>
      <w:r w:rsidR="002003B8" w:rsidRPr="00A964A0">
        <w:t>ll</w:t>
      </w:r>
      <w:proofErr w:type="gramEnd"/>
      <w:r w:rsidR="002003B8" w:rsidRPr="00A964A0">
        <w:t xml:space="preserve"> vaccines </w:t>
      </w:r>
      <w:r w:rsidR="002003B8">
        <w:t xml:space="preserve">that are </w:t>
      </w:r>
      <w:r w:rsidR="00755AE8">
        <w:t>included in</w:t>
      </w:r>
      <w:r w:rsidR="002003B8" w:rsidRPr="00A964A0">
        <w:t xml:space="preserve"> the immunisation programme</w:t>
      </w:r>
      <w:r w:rsidR="002003B8">
        <w:t>.</w:t>
      </w:r>
    </w:p>
    <w:p w:rsidR="002003B8" w:rsidRDefault="002003B8" w:rsidP="008C3A33">
      <w:pPr>
        <w:spacing w:line="280" w:lineRule="atLeast"/>
        <w:rPr>
          <w:rFonts w:cs="Arial"/>
          <w:szCs w:val="22"/>
        </w:rPr>
      </w:pPr>
    </w:p>
    <w:p w:rsidR="004D2A80" w:rsidRDefault="00887E60" w:rsidP="008C3A33">
      <w:pPr>
        <w:spacing w:line="280" w:lineRule="atLeast"/>
      </w:pPr>
      <w:r>
        <w:t>In addition</w:t>
      </w:r>
      <w:r w:rsidR="00815A98">
        <w:t xml:space="preserve"> </w:t>
      </w:r>
      <w:r w:rsidR="004D2A80">
        <w:t>P</w:t>
      </w:r>
      <w:r w:rsidR="00483952">
        <w:t xml:space="preserve">BRERs </w:t>
      </w:r>
      <w:r w:rsidR="008E20AE">
        <w:t xml:space="preserve">should </w:t>
      </w:r>
      <w:r>
        <w:t xml:space="preserve">also </w:t>
      </w:r>
      <w:r w:rsidR="008E20AE">
        <w:t xml:space="preserve">be </w:t>
      </w:r>
      <w:r w:rsidR="00A964A0">
        <w:t xml:space="preserve">routinely </w:t>
      </w:r>
      <w:r w:rsidR="008E20AE">
        <w:t>submitted</w:t>
      </w:r>
      <w:r w:rsidR="004D2A80">
        <w:t xml:space="preserve"> </w:t>
      </w:r>
      <w:r w:rsidR="00C1539E">
        <w:t>where</w:t>
      </w:r>
      <w:r w:rsidR="004D2A80">
        <w:t xml:space="preserve"> </w:t>
      </w:r>
      <w:r w:rsidR="008E20AE">
        <w:t xml:space="preserve">a specific requirement for the submission of </w:t>
      </w:r>
      <w:r w:rsidR="00815A98">
        <w:t xml:space="preserve">PBRERs </w:t>
      </w:r>
      <w:r w:rsidR="008E20AE">
        <w:t xml:space="preserve">has been </w:t>
      </w:r>
      <w:r w:rsidR="004D2A80">
        <w:t>imposed as a condition of approval.</w:t>
      </w:r>
      <w:r w:rsidR="008C3A33">
        <w:t xml:space="preserve"> However, </w:t>
      </w:r>
      <w:r w:rsidR="00755AE8">
        <w:t>it is acceptable for</w:t>
      </w:r>
      <w:r w:rsidR="008C3A33">
        <w:t xml:space="preserve"> sponsors to submit PBRERs routinely</w:t>
      </w:r>
      <w:r w:rsidR="00F57751">
        <w:t xml:space="preserve"> for their medicines</w:t>
      </w:r>
      <w:r w:rsidR="00755AE8">
        <w:t xml:space="preserve"> if they </w:t>
      </w:r>
      <w:r w:rsidR="004946D0">
        <w:t>wish</w:t>
      </w:r>
      <w:r w:rsidR="00755AE8">
        <w:t xml:space="preserve"> to do so.</w:t>
      </w:r>
    </w:p>
    <w:p w:rsidR="00A964A0" w:rsidRDefault="00A964A0" w:rsidP="008E20AE"/>
    <w:p w:rsidR="004946D0" w:rsidRDefault="002003B8" w:rsidP="002003B8">
      <w:r>
        <w:t>Medsafe may occasionally request the submission of a PBRER for a specific medicine</w:t>
      </w:r>
      <w:r w:rsidR="000B3DF8">
        <w:t xml:space="preserve"> if closer monitoring of its safety is required</w:t>
      </w:r>
      <w:r w:rsidR="00755AE8">
        <w:t xml:space="preserve">. </w:t>
      </w:r>
    </w:p>
    <w:p w:rsidR="004946D0" w:rsidRDefault="004946D0" w:rsidP="002003B8"/>
    <w:p w:rsidR="00A964A0" w:rsidRDefault="00A964A0" w:rsidP="002003B8">
      <w:pPr>
        <w:rPr>
          <w:rFonts w:cs="Arial"/>
          <w:szCs w:val="22"/>
        </w:rPr>
      </w:pPr>
      <w:r>
        <w:rPr>
          <w:rFonts w:cs="Arial"/>
          <w:szCs w:val="22"/>
        </w:rPr>
        <w:t xml:space="preserve">Medsafe will advise the sponsor when </w:t>
      </w:r>
      <w:r w:rsidR="00C1539E">
        <w:rPr>
          <w:rFonts w:cs="Arial"/>
          <w:szCs w:val="22"/>
        </w:rPr>
        <w:t>submission</w:t>
      </w:r>
      <w:r>
        <w:rPr>
          <w:rFonts w:cs="Arial"/>
          <w:szCs w:val="22"/>
        </w:rPr>
        <w:t xml:space="preserve"> is no longer </w:t>
      </w:r>
      <w:r w:rsidR="008C3A33">
        <w:rPr>
          <w:rFonts w:cs="Arial"/>
          <w:szCs w:val="22"/>
        </w:rPr>
        <w:t>necessary</w:t>
      </w:r>
      <w:r>
        <w:rPr>
          <w:rFonts w:cs="Arial"/>
          <w:szCs w:val="22"/>
        </w:rPr>
        <w:t>.</w:t>
      </w:r>
    </w:p>
    <w:p w:rsidR="00A964A0" w:rsidRDefault="00A964A0" w:rsidP="00593B0E">
      <w:pPr>
        <w:spacing w:line="280" w:lineRule="atLeast"/>
        <w:rPr>
          <w:rFonts w:cs="Arial"/>
          <w:szCs w:val="22"/>
        </w:rPr>
      </w:pPr>
    </w:p>
    <w:p w:rsidR="00A964A0" w:rsidRPr="00A964A0" w:rsidRDefault="00A964A0" w:rsidP="00A964A0">
      <w:pPr>
        <w:pStyle w:val="NoHeading2"/>
        <w:keepNext/>
        <w:spacing w:before="120"/>
        <w:ind w:right="340"/>
        <w:rPr>
          <w:sz w:val="24"/>
          <w:szCs w:val="24"/>
        </w:rPr>
      </w:pPr>
      <w:bookmarkStart w:id="180" w:name="_Toc414346448"/>
      <w:bookmarkStart w:id="181" w:name="_Toc414522837"/>
      <w:r w:rsidRPr="00A964A0">
        <w:rPr>
          <w:sz w:val="24"/>
          <w:szCs w:val="24"/>
        </w:rPr>
        <w:t>6.2.1</w:t>
      </w:r>
      <w:r w:rsidRPr="00A964A0">
        <w:rPr>
          <w:sz w:val="24"/>
          <w:szCs w:val="24"/>
        </w:rPr>
        <w:tab/>
        <w:t xml:space="preserve">Format of </w:t>
      </w:r>
      <w:r w:rsidR="002D2771">
        <w:rPr>
          <w:sz w:val="24"/>
          <w:szCs w:val="24"/>
        </w:rPr>
        <w:t xml:space="preserve">a </w:t>
      </w:r>
      <w:r w:rsidRPr="00A964A0">
        <w:rPr>
          <w:sz w:val="24"/>
          <w:szCs w:val="24"/>
        </w:rPr>
        <w:t>PBRER</w:t>
      </w:r>
      <w:bookmarkEnd w:id="180"/>
      <w:bookmarkEnd w:id="181"/>
    </w:p>
    <w:p w:rsidR="00A964A0" w:rsidRDefault="00A964A0" w:rsidP="00A964A0"/>
    <w:p w:rsidR="00A964A0" w:rsidRDefault="00A964A0" w:rsidP="00A964A0">
      <w:r>
        <w:t>PBRER</w:t>
      </w:r>
      <w:r w:rsidR="008C3A33">
        <w:t>s</w:t>
      </w:r>
      <w:r>
        <w:t xml:space="preserve"> should be prepared </w:t>
      </w:r>
      <w:r w:rsidR="008C3A33">
        <w:t xml:space="preserve">according to ICH guideline </w:t>
      </w:r>
      <w:r w:rsidR="0000483E" w:rsidRPr="0000483E">
        <w:rPr>
          <w:i/>
        </w:rPr>
        <w:t>ICH</w:t>
      </w:r>
      <w:r w:rsidR="0000483E">
        <w:t xml:space="preserve"> </w:t>
      </w:r>
      <w:r w:rsidR="008C3A33" w:rsidRPr="00F57751">
        <w:rPr>
          <w:i/>
        </w:rPr>
        <w:t>E2C (R2).</w:t>
      </w:r>
      <w:r>
        <w:t xml:space="preserve"> A PBRER that has already been prepared for </w:t>
      </w:r>
      <w:r w:rsidR="008C3A33">
        <w:t xml:space="preserve">submission in </w:t>
      </w:r>
      <w:r>
        <w:t>Europe is acceptable.</w:t>
      </w:r>
      <w:r w:rsidR="00755AE8">
        <w:t xml:space="preserve"> The period covered by the PBRER should remain in line with EU requirements.</w:t>
      </w:r>
    </w:p>
    <w:p w:rsidR="00A964A0" w:rsidRDefault="00A964A0" w:rsidP="00A964A0"/>
    <w:p w:rsidR="00A964A0" w:rsidRDefault="00A964A0" w:rsidP="00593B0E">
      <w:pPr>
        <w:spacing w:line="280" w:lineRule="atLeast"/>
        <w:rPr>
          <w:rFonts w:cs="Arial"/>
          <w:szCs w:val="22"/>
        </w:rPr>
      </w:pPr>
    </w:p>
    <w:p w:rsidR="00815A98" w:rsidRPr="00C31EEF" w:rsidRDefault="009F42FC" w:rsidP="00815A98">
      <w:pPr>
        <w:pStyle w:val="NoHeading2"/>
        <w:keepNext/>
        <w:spacing w:before="120"/>
        <w:ind w:right="340"/>
      </w:pPr>
      <w:bookmarkStart w:id="182" w:name="_Toc414346449"/>
      <w:bookmarkStart w:id="183" w:name="_Toc414522838"/>
      <w:r>
        <w:t>6</w:t>
      </w:r>
      <w:r w:rsidR="00815A98">
        <w:t>.3</w:t>
      </w:r>
      <w:r w:rsidR="00815A98">
        <w:tab/>
      </w:r>
      <w:r w:rsidR="00815A98" w:rsidRPr="00C31EEF">
        <w:t>Risk Management Plans</w:t>
      </w:r>
      <w:bookmarkEnd w:id="182"/>
      <w:bookmarkEnd w:id="183"/>
    </w:p>
    <w:p w:rsidR="00815A98" w:rsidRPr="004D2A80" w:rsidRDefault="00815A98" w:rsidP="00815A98"/>
    <w:p w:rsidR="00815A98" w:rsidRPr="00100D7E" w:rsidRDefault="00815A98" w:rsidP="00755AE8">
      <w:pPr>
        <w:spacing w:line="280" w:lineRule="atLeast"/>
        <w:rPr>
          <w:rFonts w:cs="Arial"/>
          <w:szCs w:val="22"/>
        </w:rPr>
      </w:pPr>
      <w:r w:rsidRPr="00100D7E">
        <w:rPr>
          <w:rFonts w:cs="Arial"/>
          <w:szCs w:val="22"/>
        </w:rPr>
        <w:t xml:space="preserve">Medsafe does not require routine submission of </w:t>
      </w:r>
      <w:r>
        <w:rPr>
          <w:rFonts w:cs="Arial"/>
          <w:szCs w:val="22"/>
        </w:rPr>
        <w:t>R</w:t>
      </w:r>
      <w:r w:rsidR="00C1539E">
        <w:rPr>
          <w:rFonts w:cs="Arial"/>
          <w:szCs w:val="22"/>
        </w:rPr>
        <w:t xml:space="preserve">isk </w:t>
      </w:r>
      <w:r>
        <w:rPr>
          <w:rFonts w:cs="Arial"/>
          <w:szCs w:val="22"/>
        </w:rPr>
        <w:t>M</w:t>
      </w:r>
      <w:r w:rsidR="00C1539E">
        <w:rPr>
          <w:rFonts w:cs="Arial"/>
          <w:szCs w:val="22"/>
        </w:rPr>
        <w:t xml:space="preserve">anagement </w:t>
      </w:r>
      <w:r>
        <w:rPr>
          <w:rFonts w:cs="Arial"/>
          <w:szCs w:val="22"/>
        </w:rPr>
        <w:t>P</w:t>
      </w:r>
      <w:r w:rsidR="00C1539E">
        <w:rPr>
          <w:rFonts w:cs="Arial"/>
          <w:szCs w:val="22"/>
        </w:rPr>
        <w:t>lans</w:t>
      </w:r>
      <w:r w:rsidR="0012732F">
        <w:rPr>
          <w:rFonts w:cs="Arial"/>
          <w:szCs w:val="22"/>
        </w:rPr>
        <w:t xml:space="preserve"> (RMPs)</w:t>
      </w:r>
      <w:r w:rsidR="00295E73">
        <w:rPr>
          <w:rFonts w:cs="Arial"/>
          <w:szCs w:val="22"/>
        </w:rPr>
        <w:t>.</w:t>
      </w:r>
      <w:r w:rsidRPr="00100D7E">
        <w:rPr>
          <w:rFonts w:cs="Arial"/>
          <w:szCs w:val="22"/>
        </w:rPr>
        <w:t xml:space="preserve"> </w:t>
      </w:r>
      <w:r w:rsidR="00295E73">
        <w:rPr>
          <w:rFonts w:cs="Arial"/>
          <w:szCs w:val="22"/>
        </w:rPr>
        <w:t xml:space="preserve">However, Medsafe </w:t>
      </w:r>
      <w:r w:rsidRPr="00100D7E">
        <w:rPr>
          <w:rFonts w:cs="Arial"/>
          <w:szCs w:val="22"/>
        </w:rPr>
        <w:t>may request the</w:t>
      </w:r>
      <w:r w:rsidR="00C1539E">
        <w:rPr>
          <w:rFonts w:cs="Arial"/>
          <w:szCs w:val="22"/>
        </w:rPr>
        <w:t>se</w:t>
      </w:r>
      <w:r w:rsidRPr="00100D7E">
        <w:rPr>
          <w:rFonts w:cs="Arial"/>
          <w:szCs w:val="22"/>
        </w:rPr>
        <w:t xml:space="preserve"> for specific medicines</w:t>
      </w:r>
      <w:r w:rsidR="00C1539E">
        <w:rPr>
          <w:rFonts w:cs="Arial"/>
          <w:szCs w:val="22"/>
        </w:rPr>
        <w:t xml:space="preserve"> during the evaluation of a new medicine application as a condition of approval</w:t>
      </w:r>
      <w:r w:rsidR="002003B8">
        <w:rPr>
          <w:rFonts w:cs="Arial"/>
          <w:szCs w:val="22"/>
        </w:rPr>
        <w:t xml:space="preserve"> or in response to a safety issue</w:t>
      </w:r>
      <w:r w:rsidRPr="00100D7E">
        <w:rPr>
          <w:rFonts w:cs="Arial"/>
          <w:szCs w:val="22"/>
        </w:rPr>
        <w:t>.</w:t>
      </w:r>
      <w:r w:rsidR="002003B8">
        <w:rPr>
          <w:rFonts w:cs="Arial"/>
          <w:szCs w:val="22"/>
        </w:rPr>
        <w:t xml:space="preserve"> </w:t>
      </w:r>
      <w:r w:rsidR="00755AE8">
        <w:rPr>
          <w:rFonts w:cs="Arial"/>
          <w:szCs w:val="22"/>
        </w:rPr>
        <w:t xml:space="preserve">It is acceptable for </w:t>
      </w:r>
      <w:r w:rsidR="002003B8">
        <w:rPr>
          <w:rFonts w:cs="Arial"/>
          <w:szCs w:val="22"/>
        </w:rPr>
        <w:t>sponsors to submit RMPs outside of these circumstances</w:t>
      </w:r>
      <w:r w:rsidR="00755AE8">
        <w:rPr>
          <w:rFonts w:cs="Arial"/>
          <w:szCs w:val="22"/>
        </w:rPr>
        <w:t xml:space="preserve"> if they wish to do so.</w:t>
      </w:r>
      <w:r w:rsidR="002003B8">
        <w:rPr>
          <w:rFonts w:cs="Arial"/>
          <w:szCs w:val="22"/>
        </w:rPr>
        <w:t xml:space="preserve"> </w:t>
      </w:r>
    </w:p>
    <w:p w:rsidR="00815A98" w:rsidRDefault="00815A98" w:rsidP="00815A98"/>
    <w:p w:rsidR="00815A98" w:rsidRDefault="00815A98" w:rsidP="00815A98"/>
    <w:p w:rsidR="002210F4" w:rsidRDefault="002210F4" w:rsidP="00815A98"/>
    <w:p w:rsidR="002210F4" w:rsidRDefault="002210F4" w:rsidP="00815A98"/>
    <w:p w:rsidR="002210F4" w:rsidRDefault="002210F4">
      <w:r>
        <w:br w:type="page"/>
      </w:r>
    </w:p>
    <w:p w:rsidR="002210F4" w:rsidRPr="0086572A" w:rsidRDefault="002210F4" w:rsidP="002210F4">
      <w:pPr>
        <w:pStyle w:val="NoHeading1"/>
        <w:spacing w:after="0" w:line="280" w:lineRule="atLeast"/>
        <w:ind w:left="2268" w:right="340" w:hanging="2268"/>
      </w:pPr>
      <w:bookmarkStart w:id="184" w:name="_Toc414346450"/>
      <w:bookmarkStart w:id="185" w:name="_Toc414522839"/>
      <w:r>
        <w:rPr>
          <w:szCs w:val="22"/>
        </w:rPr>
        <w:t>Section 7:</w:t>
      </w:r>
      <w:r>
        <w:rPr>
          <w:szCs w:val="22"/>
        </w:rPr>
        <w:tab/>
      </w:r>
      <w:r>
        <w:t>Safety Communications</w:t>
      </w:r>
      <w:bookmarkEnd w:id="184"/>
      <w:bookmarkEnd w:id="185"/>
      <w:r>
        <w:t xml:space="preserve"> </w:t>
      </w:r>
    </w:p>
    <w:p w:rsidR="002210F4" w:rsidRDefault="002210F4" w:rsidP="002210F4"/>
    <w:p w:rsidR="002210F4" w:rsidRPr="0086572A" w:rsidRDefault="002210F4" w:rsidP="002210F4"/>
    <w:p w:rsidR="002210F4" w:rsidRDefault="002210F4" w:rsidP="002210F4">
      <w:pPr>
        <w:pBdr>
          <w:top w:val="single" w:sz="4" w:space="0" w:color="auto"/>
          <w:left w:val="single" w:sz="4" w:space="4" w:color="auto"/>
          <w:bottom w:val="single" w:sz="4" w:space="1" w:color="auto"/>
          <w:right w:val="single" w:sz="4" w:space="4" w:color="auto"/>
        </w:pBdr>
        <w:ind w:right="340"/>
        <w:rPr>
          <w:rStyle w:val="NormalBoldTeal"/>
        </w:rPr>
      </w:pPr>
    </w:p>
    <w:p w:rsidR="002210F4" w:rsidRDefault="002210F4" w:rsidP="002210F4">
      <w:pPr>
        <w:pBdr>
          <w:top w:val="single" w:sz="4" w:space="0" w:color="auto"/>
          <w:left w:val="single" w:sz="4" w:space="4" w:color="auto"/>
          <w:bottom w:val="single" w:sz="4" w:space="1" w:color="auto"/>
          <w:right w:val="single" w:sz="4" w:space="4" w:color="auto"/>
        </w:pBdr>
        <w:spacing w:after="120"/>
        <w:ind w:right="340"/>
        <w:rPr>
          <w:rStyle w:val="NormalBoldTeal"/>
          <w:sz w:val="24"/>
        </w:rPr>
      </w:pPr>
      <w:r w:rsidRPr="00557EA4">
        <w:rPr>
          <w:rStyle w:val="NormalBoldTeal"/>
          <w:sz w:val="24"/>
        </w:rPr>
        <w:t>Section summary</w:t>
      </w:r>
    </w:p>
    <w:p w:rsidR="002210F4" w:rsidRPr="0005336D" w:rsidRDefault="002210F4" w:rsidP="002210F4">
      <w:pPr>
        <w:pBdr>
          <w:top w:val="single" w:sz="4" w:space="0" w:color="auto"/>
          <w:left w:val="single" w:sz="4" w:space="4" w:color="auto"/>
          <w:bottom w:val="single" w:sz="4" w:space="1" w:color="auto"/>
          <w:right w:val="single" w:sz="4" w:space="4" w:color="auto"/>
        </w:pBdr>
        <w:spacing w:line="280" w:lineRule="atLeast"/>
        <w:ind w:right="340"/>
        <w:rPr>
          <w:rStyle w:val="NormalBoldTeal"/>
          <w:rFonts w:cs="Arial"/>
          <w:b w:val="0"/>
          <w:i/>
          <w:color w:val="auto"/>
          <w:szCs w:val="22"/>
        </w:rPr>
      </w:pPr>
      <w:r w:rsidRPr="0005336D">
        <w:rPr>
          <w:rStyle w:val="NormalBoldTeal"/>
          <w:rFonts w:cs="Arial"/>
          <w:b w:val="0"/>
          <w:i/>
          <w:color w:val="auto"/>
          <w:szCs w:val="22"/>
        </w:rPr>
        <w:t xml:space="preserve">This section provides </w:t>
      </w:r>
      <w:r>
        <w:rPr>
          <w:rStyle w:val="NormalBoldTeal"/>
          <w:rFonts w:cs="Arial"/>
          <w:b w:val="0"/>
          <w:i/>
          <w:color w:val="auto"/>
          <w:szCs w:val="22"/>
        </w:rPr>
        <w:t>guidance</w:t>
      </w:r>
      <w:r w:rsidRPr="0005336D">
        <w:rPr>
          <w:rStyle w:val="NormalBoldTeal"/>
          <w:rFonts w:cs="Arial"/>
          <w:b w:val="0"/>
          <w:i/>
          <w:color w:val="auto"/>
          <w:szCs w:val="22"/>
        </w:rPr>
        <w:t xml:space="preserve"> on </w:t>
      </w:r>
      <w:r>
        <w:rPr>
          <w:rStyle w:val="NormalBoldTeal"/>
          <w:rFonts w:cs="Arial"/>
          <w:b w:val="0"/>
          <w:i/>
          <w:color w:val="auto"/>
          <w:szCs w:val="22"/>
        </w:rPr>
        <w:t xml:space="preserve">communications about safety issues to </w:t>
      </w:r>
      <w:r w:rsidR="007950DB">
        <w:rPr>
          <w:rStyle w:val="NormalBoldTeal"/>
          <w:rFonts w:cs="Arial"/>
          <w:b w:val="0"/>
          <w:i/>
          <w:color w:val="auto"/>
          <w:szCs w:val="22"/>
        </w:rPr>
        <w:t xml:space="preserve">the </w:t>
      </w:r>
      <w:r>
        <w:rPr>
          <w:rStyle w:val="NormalBoldTeal"/>
          <w:rFonts w:cs="Arial"/>
          <w:b w:val="0"/>
          <w:i/>
          <w:color w:val="auto"/>
          <w:szCs w:val="22"/>
        </w:rPr>
        <w:t>health sector</w:t>
      </w:r>
      <w:r w:rsidR="007950DB">
        <w:rPr>
          <w:rStyle w:val="NormalBoldTeal"/>
          <w:rFonts w:cs="Arial"/>
          <w:b w:val="0"/>
          <w:i/>
          <w:color w:val="auto"/>
          <w:szCs w:val="22"/>
        </w:rPr>
        <w:t xml:space="preserve"> and consumers</w:t>
      </w:r>
      <w:r>
        <w:rPr>
          <w:rStyle w:val="NormalBoldTeal"/>
          <w:rFonts w:cs="Arial"/>
          <w:b w:val="0"/>
          <w:i/>
          <w:color w:val="auto"/>
          <w:szCs w:val="22"/>
        </w:rPr>
        <w:t>.</w:t>
      </w:r>
    </w:p>
    <w:p w:rsidR="002210F4" w:rsidRPr="00186D8B" w:rsidRDefault="002210F4" w:rsidP="002210F4">
      <w:pPr>
        <w:pBdr>
          <w:top w:val="single" w:sz="4" w:space="0" w:color="auto"/>
          <w:left w:val="single" w:sz="4" w:space="4" w:color="auto"/>
          <w:bottom w:val="single" w:sz="4" w:space="1" w:color="auto"/>
          <w:right w:val="single" w:sz="4" w:space="4" w:color="auto"/>
        </w:pBdr>
        <w:ind w:right="340"/>
        <w:rPr>
          <w:rStyle w:val="NormalBoldTeal"/>
          <w:b w:val="0"/>
          <w:color w:val="auto"/>
          <w:szCs w:val="22"/>
        </w:rPr>
      </w:pPr>
    </w:p>
    <w:p w:rsidR="002210F4" w:rsidRDefault="002210F4" w:rsidP="00815A98"/>
    <w:p w:rsidR="002210F4" w:rsidRDefault="002210F4" w:rsidP="002210F4">
      <w:pPr>
        <w:pStyle w:val="NoHeading2"/>
        <w:keepNext/>
        <w:spacing w:before="120"/>
        <w:ind w:left="1140" w:right="340" w:hanging="1140"/>
      </w:pPr>
      <w:bookmarkStart w:id="186" w:name="_Toc414346451"/>
      <w:bookmarkStart w:id="187" w:name="_Toc414522840"/>
      <w:r>
        <w:t>7.1</w:t>
      </w:r>
      <w:r>
        <w:tab/>
        <w:t>Introduction</w:t>
      </w:r>
      <w:bookmarkEnd w:id="186"/>
      <w:bookmarkEnd w:id="187"/>
    </w:p>
    <w:p w:rsidR="002210F4" w:rsidRDefault="002210F4" w:rsidP="00815A98"/>
    <w:p w:rsidR="002210F4" w:rsidRDefault="00A05BFB" w:rsidP="00851487">
      <w:r w:rsidRPr="00A05BFB">
        <w:t>High levels of public interest are anticipated when new safety concerns arise</w:t>
      </w:r>
      <w:r>
        <w:t>.</w:t>
      </w:r>
      <w:r w:rsidRPr="00A05BFB">
        <w:t xml:space="preserve"> </w:t>
      </w:r>
      <w:r w:rsidR="00851487">
        <w:t>High quality s</w:t>
      </w:r>
      <w:r>
        <w:t xml:space="preserve">afety communication </w:t>
      </w:r>
      <w:r w:rsidR="00851487">
        <w:t xml:space="preserve">can support public confidence in the regulatory system by providing </w:t>
      </w:r>
      <w:r>
        <w:t>timely, evidence-based information</w:t>
      </w:r>
      <w:r w:rsidR="00851487">
        <w:t>.</w:t>
      </w:r>
    </w:p>
    <w:p w:rsidR="00851487" w:rsidRPr="00851487" w:rsidRDefault="00851487" w:rsidP="00851487"/>
    <w:p w:rsidR="00851487" w:rsidRDefault="00851487" w:rsidP="00851487">
      <w:r w:rsidRPr="00851487">
        <w:t xml:space="preserve">Safety communication should deliver relevant, clear, accurate and consistent messages using the appropriate level of language </w:t>
      </w:r>
      <w:r w:rsidR="004946D0">
        <w:t xml:space="preserve">for </w:t>
      </w:r>
      <w:r w:rsidRPr="00851487">
        <w:t>the audience.</w:t>
      </w:r>
      <w:r>
        <w:t xml:space="preserve"> Sponsors should keep in mind these principles:</w:t>
      </w:r>
    </w:p>
    <w:p w:rsidR="00851487" w:rsidRDefault="00851487" w:rsidP="00851487"/>
    <w:p w:rsidR="00B605B1" w:rsidRDefault="004946D0" w:rsidP="00EE7EEF">
      <w:pPr>
        <w:pStyle w:val="ListBullet"/>
        <w:spacing w:before="0" w:line="240" w:lineRule="auto"/>
        <w:ind w:left="714" w:hanging="357"/>
      </w:pPr>
      <w:r>
        <w:t>t</w:t>
      </w:r>
      <w:r w:rsidR="00B605B1">
        <w:t>ransparency and openness</w:t>
      </w:r>
    </w:p>
    <w:p w:rsidR="00851487" w:rsidRDefault="004946D0" w:rsidP="00EE7EEF">
      <w:pPr>
        <w:pStyle w:val="ListBullet"/>
        <w:spacing w:before="0" w:line="240" w:lineRule="auto"/>
        <w:ind w:left="714" w:hanging="357"/>
      </w:pPr>
      <w:r>
        <w:t>n</w:t>
      </w:r>
      <w:r w:rsidR="00851487">
        <w:t>ature of the message and the target audience</w:t>
      </w:r>
    </w:p>
    <w:p w:rsidR="00851487" w:rsidRDefault="004946D0" w:rsidP="00851487">
      <w:pPr>
        <w:pStyle w:val="ListBullet"/>
      </w:pPr>
      <w:r>
        <w:t>i</w:t>
      </w:r>
      <w:r w:rsidR="00851487">
        <w:t>nformation on risks in context to benefits</w:t>
      </w:r>
    </w:p>
    <w:p w:rsidR="00851487" w:rsidRDefault="004946D0" w:rsidP="00851487">
      <w:pPr>
        <w:pStyle w:val="ListBullet"/>
      </w:pPr>
      <w:r>
        <w:t>a</w:t>
      </w:r>
      <w:r w:rsidR="00851487">
        <w:t>ppropriate quantitative measures for risk comparisons</w:t>
      </w:r>
    </w:p>
    <w:p w:rsidR="00851487" w:rsidRDefault="004946D0" w:rsidP="00851487">
      <w:pPr>
        <w:pStyle w:val="ListBullet"/>
      </w:pPr>
      <w:r>
        <w:t>r</w:t>
      </w:r>
      <w:r w:rsidR="00851487">
        <w:t>ecommendations on managing risks</w:t>
      </w:r>
    </w:p>
    <w:p w:rsidR="00851487" w:rsidRPr="00851487" w:rsidRDefault="004946D0" w:rsidP="00851487">
      <w:pPr>
        <w:pStyle w:val="ListBullet"/>
      </w:pPr>
      <w:proofErr w:type="gramStart"/>
      <w:r>
        <w:t>u</w:t>
      </w:r>
      <w:r w:rsidR="00B605B1">
        <w:t>sing</w:t>
      </w:r>
      <w:proofErr w:type="gramEnd"/>
      <w:r w:rsidR="00B605B1">
        <w:t xml:space="preserve"> a range of d</w:t>
      </w:r>
      <w:r w:rsidR="00EE7EEF">
        <w:t>ifferent and appropriate m</w:t>
      </w:r>
      <w:r w:rsidR="00851487">
        <w:t>eans of communication</w:t>
      </w:r>
      <w:r w:rsidR="00EE7EEF">
        <w:t>.</w:t>
      </w:r>
    </w:p>
    <w:p w:rsidR="002210F4" w:rsidRDefault="002210F4" w:rsidP="00815A98"/>
    <w:p w:rsidR="00AA6E7B" w:rsidRPr="00EE0069" w:rsidRDefault="002210F4" w:rsidP="00AA6E7B">
      <w:pPr>
        <w:pStyle w:val="NoHeading2"/>
        <w:keepNext/>
        <w:spacing w:before="120"/>
        <w:ind w:left="1140" w:right="340" w:hanging="1140"/>
      </w:pPr>
      <w:bookmarkStart w:id="188" w:name="_Toc414346452"/>
      <w:bookmarkStart w:id="189" w:name="_Toc414522841"/>
      <w:r>
        <w:t>7.2</w:t>
      </w:r>
      <w:r w:rsidR="00AA6E7B">
        <w:tab/>
        <w:t>Dear Healthcare Professional letter</w:t>
      </w:r>
      <w:bookmarkEnd w:id="188"/>
      <w:bookmarkEnd w:id="189"/>
    </w:p>
    <w:p w:rsidR="002003B8" w:rsidRDefault="002003B8" w:rsidP="00327688">
      <w:pPr>
        <w:spacing w:line="280" w:lineRule="atLeast"/>
        <w:rPr>
          <w:rFonts w:cs="Arial"/>
          <w:szCs w:val="22"/>
        </w:rPr>
      </w:pPr>
    </w:p>
    <w:p w:rsidR="002003B8" w:rsidRDefault="00851487" w:rsidP="00327688">
      <w:pPr>
        <w:spacing w:line="280" w:lineRule="atLeast"/>
        <w:rPr>
          <w:rFonts w:cs="Arial"/>
          <w:szCs w:val="22"/>
        </w:rPr>
      </w:pPr>
      <w:r>
        <w:rPr>
          <w:rFonts w:cs="Arial"/>
          <w:szCs w:val="22"/>
        </w:rPr>
        <w:t>I</w:t>
      </w:r>
      <w:r w:rsidR="007C592E">
        <w:rPr>
          <w:rFonts w:cs="Arial"/>
          <w:szCs w:val="22"/>
        </w:rPr>
        <w:t>nformation that impacts a change in the severity or incidence of adverse reactions</w:t>
      </w:r>
      <w:r w:rsidR="00327688">
        <w:rPr>
          <w:rFonts w:cs="Arial"/>
          <w:szCs w:val="22"/>
        </w:rPr>
        <w:t xml:space="preserve"> in the general population or a specific section of the population</w:t>
      </w:r>
      <w:r w:rsidR="007C592E">
        <w:rPr>
          <w:rFonts w:cs="Arial"/>
          <w:szCs w:val="22"/>
        </w:rPr>
        <w:t xml:space="preserve"> </w:t>
      </w:r>
      <w:r w:rsidR="00327688">
        <w:rPr>
          <w:rFonts w:cs="Arial"/>
          <w:szCs w:val="22"/>
        </w:rPr>
        <w:t xml:space="preserve">may </w:t>
      </w:r>
      <w:r w:rsidR="007C592E">
        <w:rPr>
          <w:rFonts w:cs="Arial"/>
          <w:szCs w:val="22"/>
        </w:rPr>
        <w:t xml:space="preserve">necessitate a letter to healthcare professionals </w:t>
      </w:r>
      <w:r w:rsidR="002A65D0">
        <w:rPr>
          <w:rFonts w:cs="Arial"/>
          <w:szCs w:val="22"/>
        </w:rPr>
        <w:t>and relevant organisations (</w:t>
      </w:r>
      <w:proofErr w:type="spellStart"/>
      <w:r w:rsidR="0012732F">
        <w:rPr>
          <w:rFonts w:cs="Arial"/>
          <w:szCs w:val="22"/>
        </w:rPr>
        <w:t>eg</w:t>
      </w:r>
      <w:proofErr w:type="spellEnd"/>
      <w:r w:rsidR="00ED77FF">
        <w:rPr>
          <w:rFonts w:cs="Arial"/>
          <w:szCs w:val="22"/>
        </w:rPr>
        <w:t>, d</w:t>
      </w:r>
      <w:r w:rsidR="004946D0">
        <w:rPr>
          <w:rFonts w:cs="Arial"/>
          <w:szCs w:val="22"/>
        </w:rPr>
        <w:t xml:space="preserve">istrict </w:t>
      </w:r>
      <w:r w:rsidR="00ED77FF">
        <w:rPr>
          <w:rFonts w:cs="Arial"/>
          <w:szCs w:val="22"/>
        </w:rPr>
        <w:t>h</w:t>
      </w:r>
      <w:r w:rsidR="004946D0">
        <w:rPr>
          <w:rFonts w:cs="Arial"/>
          <w:szCs w:val="22"/>
        </w:rPr>
        <w:t xml:space="preserve">ealth </w:t>
      </w:r>
      <w:r w:rsidR="00ED77FF">
        <w:rPr>
          <w:rFonts w:cs="Arial"/>
          <w:szCs w:val="22"/>
        </w:rPr>
        <w:t>b</w:t>
      </w:r>
      <w:r w:rsidR="004946D0">
        <w:rPr>
          <w:rFonts w:cs="Arial"/>
          <w:szCs w:val="22"/>
        </w:rPr>
        <w:t>oard</w:t>
      </w:r>
      <w:r w:rsidR="002A65D0">
        <w:rPr>
          <w:rFonts w:cs="Arial"/>
          <w:szCs w:val="22"/>
        </w:rPr>
        <w:t xml:space="preserve">s, </w:t>
      </w:r>
      <w:r w:rsidR="002A65D0" w:rsidRPr="002A65D0">
        <w:rPr>
          <w:rFonts w:cs="Arial"/>
          <w:szCs w:val="22"/>
        </w:rPr>
        <w:t>pharmaceutical wholesalers</w:t>
      </w:r>
      <w:r w:rsidR="002A65D0">
        <w:rPr>
          <w:rFonts w:cs="Arial"/>
          <w:szCs w:val="22"/>
        </w:rPr>
        <w:t xml:space="preserve">, pharmacies, professional societies) </w:t>
      </w:r>
      <w:r w:rsidR="002003B8">
        <w:rPr>
          <w:rFonts w:cs="Arial"/>
          <w:szCs w:val="22"/>
        </w:rPr>
        <w:t xml:space="preserve">in order </w:t>
      </w:r>
      <w:r w:rsidR="007C592E">
        <w:rPr>
          <w:rFonts w:cs="Arial"/>
          <w:szCs w:val="22"/>
        </w:rPr>
        <w:t>to advise them of the overall impact on safety.</w:t>
      </w:r>
      <w:r w:rsidR="002003B8">
        <w:rPr>
          <w:rFonts w:cs="Arial"/>
          <w:szCs w:val="22"/>
        </w:rPr>
        <w:t xml:space="preserve"> Common examples </w:t>
      </w:r>
      <w:r w:rsidR="002A65D0">
        <w:rPr>
          <w:rFonts w:cs="Arial"/>
          <w:szCs w:val="22"/>
        </w:rPr>
        <w:t xml:space="preserve">of changes that have to be communicated </w:t>
      </w:r>
      <w:r w:rsidR="002003B8">
        <w:rPr>
          <w:rFonts w:cs="Arial"/>
          <w:szCs w:val="22"/>
        </w:rPr>
        <w:t>are the imposition of new warnings, precautions, contraindications, a limitati</w:t>
      </w:r>
      <w:r w:rsidR="00734DC4">
        <w:rPr>
          <w:rFonts w:cs="Arial"/>
          <w:szCs w:val="22"/>
        </w:rPr>
        <w:t>on of indications,</w:t>
      </w:r>
      <w:r w:rsidR="002210F4">
        <w:rPr>
          <w:rFonts w:cs="Arial"/>
          <w:szCs w:val="22"/>
        </w:rPr>
        <w:t xml:space="preserve"> or restriction on</w:t>
      </w:r>
      <w:r w:rsidR="002003B8">
        <w:rPr>
          <w:rFonts w:cs="Arial"/>
          <w:szCs w:val="22"/>
        </w:rPr>
        <w:t xml:space="preserve"> use.</w:t>
      </w:r>
    </w:p>
    <w:p w:rsidR="007C592E" w:rsidRDefault="007C592E" w:rsidP="00AA6E7B">
      <w:pPr>
        <w:spacing w:line="280" w:lineRule="atLeast"/>
        <w:rPr>
          <w:rFonts w:cs="Arial"/>
          <w:szCs w:val="22"/>
        </w:rPr>
      </w:pPr>
    </w:p>
    <w:p w:rsidR="002A65D0" w:rsidRDefault="002A65D0" w:rsidP="002A65D0">
      <w:pPr>
        <w:spacing w:line="280" w:lineRule="atLeast"/>
        <w:rPr>
          <w:rFonts w:cs="Arial"/>
          <w:szCs w:val="22"/>
        </w:rPr>
      </w:pPr>
      <w:r>
        <w:rPr>
          <w:rFonts w:cs="Arial"/>
          <w:szCs w:val="22"/>
        </w:rPr>
        <w:t xml:space="preserve">Medsafe recommends that sponsors follow the guidance in the </w:t>
      </w:r>
      <w:r w:rsidRPr="00A63D92">
        <w:rPr>
          <w:rFonts w:cs="Arial"/>
          <w:i/>
          <w:szCs w:val="22"/>
        </w:rPr>
        <w:t xml:space="preserve">European Guideline on </w:t>
      </w:r>
      <w:r w:rsidR="00A63D92" w:rsidRPr="00A63D92">
        <w:rPr>
          <w:rFonts w:cs="Arial"/>
          <w:i/>
          <w:szCs w:val="22"/>
        </w:rPr>
        <w:t xml:space="preserve">good </w:t>
      </w:r>
      <w:proofErr w:type="spellStart"/>
      <w:r w:rsidR="00A63D92" w:rsidRPr="00A63D92">
        <w:rPr>
          <w:rFonts w:cs="Arial"/>
          <w:i/>
          <w:szCs w:val="22"/>
        </w:rPr>
        <w:t>pharmacovigilance</w:t>
      </w:r>
      <w:proofErr w:type="spellEnd"/>
      <w:r w:rsidR="00A63D92" w:rsidRPr="00A63D92">
        <w:rPr>
          <w:rFonts w:cs="Arial"/>
          <w:i/>
          <w:szCs w:val="22"/>
        </w:rPr>
        <w:t xml:space="preserve"> practice (GVP) Module XV – Safety Communication</w:t>
      </w:r>
      <w:r w:rsidR="004946D0">
        <w:rPr>
          <w:rFonts w:cs="Arial"/>
          <w:szCs w:val="22"/>
        </w:rPr>
        <w:t xml:space="preserve"> </w:t>
      </w:r>
    </w:p>
    <w:p w:rsidR="00A63D92" w:rsidRDefault="004946D0" w:rsidP="002A65D0">
      <w:pPr>
        <w:spacing w:line="280" w:lineRule="atLeast"/>
        <w:rPr>
          <w:rFonts w:cs="Arial"/>
          <w:szCs w:val="22"/>
        </w:rPr>
      </w:pPr>
      <w:r>
        <w:rPr>
          <w:rFonts w:cs="Arial"/>
          <w:szCs w:val="22"/>
        </w:rPr>
        <w:t>(</w:t>
      </w:r>
      <w:hyperlink r:id="rId46" w:history="1">
        <w:r w:rsidRPr="00640754">
          <w:rPr>
            <w:rStyle w:val="Hyperlink"/>
            <w:rFonts w:cs="Arial"/>
            <w:sz w:val="22"/>
            <w:szCs w:val="22"/>
          </w:rPr>
          <w:t>www.ema.europa.eu/docs/en_GB/document_library/Scientific_guideline/2013/01/WC500137666.pdf</w:t>
        </w:r>
      </w:hyperlink>
      <w:r>
        <w:rPr>
          <w:rFonts w:cs="Arial"/>
          <w:szCs w:val="22"/>
        </w:rPr>
        <w:t>).</w:t>
      </w:r>
    </w:p>
    <w:p w:rsidR="002A65D0" w:rsidRDefault="002A65D0" w:rsidP="002A65D0">
      <w:pPr>
        <w:spacing w:line="280" w:lineRule="atLeast"/>
        <w:rPr>
          <w:rFonts w:cs="Arial"/>
          <w:szCs w:val="22"/>
        </w:rPr>
      </w:pPr>
    </w:p>
    <w:p w:rsidR="00734DC4" w:rsidRDefault="00734DC4" w:rsidP="00AA6E7B">
      <w:pPr>
        <w:spacing w:line="280" w:lineRule="atLeast"/>
        <w:rPr>
          <w:rFonts w:cs="Arial"/>
          <w:szCs w:val="22"/>
        </w:rPr>
      </w:pPr>
      <w:r>
        <w:rPr>
          <w:rFonts w:cs="Arial"/>
          <w:szCs w:val="22"/>
        </w:rPr>
        <w:t xml:space="preserve">Dear Healthcare Professional (DHCP) letters should follow the EU template. </w:t>
      </w:r>
    </w:p>
    <w:p w:rsidR="00734DC4" w:rsidRDefault="00734DC4" w:rsidP="00AA6E7B">
      <w:pPr>
        <w:spacing w:line="280" w:lineRule="atLeast"/>
        <w:rPr>
          <w:rFonts w:cs="Arial"/>
          <w:szCs w:val="22"/>
        </w:rPr>
      </w:pPr>
    </w:p>
    <w:p w:rsidR="00AA6E7B" w:rsidRDefault="002A65D0" w:rsidP="00AA6E7B">
      <w:pPr>
        <w:spacing w:line="280" w:lineRule="atLeast"/>
        <w:rPr>
          <w:rFonts w:cs="Arial"/>
          <w:szCs w:val="22"/>
        </w:rPr>
      </w:pPr>
      <w:r>
        <w:rPr>
          <w:rFonts w:cs="Arial"/>
          <w:szCs w:val="22"/>
        </w:rPr>
        <w:t>D</w:t>
      </w:r>
      <w:r w:rsidR="00327688">
        <w:rPr>
          <w:rFonts w:cs="Arial"/>
          <w:szCs w:val="22"/>
        </w:rPr>
        <w:t>raft</w:t>
      </w:r>
      <w:r w:rsidR="003F4EE4">
        <w:rPr>
          <w:rFonts w:cs="Arial"/>
          <w:szCs w:val="22"/>
        </w:rPr>
        <w:t>s of</w:t>
      </w:r>
      <w:r w:rsidR="00327688">
        <w:rPr>
          <w:rFonts w:cs="Arial"/>
          <w:szCs w:val="22"/>
        </w:rPr>
        <w:t xml:space="preserve"> </w:t>
      </w:r>
      <w:r w:rsidR="0012732F">
        <w:rPr>
          <w:rFonts w:cs="Arial"/>
          <w:szCs w:val="22"/>
        </w:rPr>
        <w:t xml:space="preserve">DHCP </w:t>
      </w:r>
      <w:r w:rsidR="00815A98">
        <w:rPr>
          <w:rFonts w:cs="Arial"/>
          <w:szCs w:val="22"/>
        </w:rPr>
        <w:t>l</w:t>
      </w:r>
      <w:r w:rsidR="00AA6E7B" w:rsidRPr="00100D7E">
        <w:rPr>
          <w:rFonts w:cs="Arial"/>
          <w:szCs w:val="22"/>
        </w:rPr>
        <w:t xml:space="preserve">etters should be </w:t>
      </w:r>
      <w:r>
        <w:rPr>
          <w:rFonts w:cs="Arial"/>
          <w:szCs w:val="22"/>
        </w:rPr>
        <w:t>provided</w:t>
      </w:r>
      <w:r w:rsidR="00AA6E7B" w:rsidRPr="00100D7E">
        <w:rPr>
          <w:rFonts w:cs="Arial"/>
          <w:szCs w:val="22"/>
        </w:rPr>
        <w:t xml:space="preserve"> </w:t>
      </w:r>
      <w:r>
        <w:rPr>
          <w:rFonts w:cs="Arial"/>
          <w:szCs w:val="22"/>
        </w:rPr>
        <w:t xml:space="preserve">to Medsafe </w:t>
      </w:r>
      <w:r w:rsidR="00AA6E7B" w:rsidRPr="00100D7E">
        <w:rPr>
          <w:rFonts w:cs="Arial"/>
          <w:szCs w:val="22"/>
        </w:rPr>
        <w:t xml:space="preserve">for review </w:t>
      </w:r>
      <w:r>
        <w:rPr>
          <w:rFonts w:cs="Arial"/>
          <w:szCs w:val="22"/>
        </w:rPr>
        <w:t xml:space="preserve">and the final wording agreed </w:t>
      </w:r>
      <w:r w:rsidR="00AA6E7B" w:rsidRPr="00100D7E">
        <w:rPr>
          <w:rFonts w:cs="Arial"/>
          <w:szCs w:val="22"/>
        </w:rPr>
        <w:t>prior to distribution</w:t>
      </w:r>
      <w:r>
        <w:rPr>
          <w:rFonts w:cs="Arial"/>
          <w:szCs w:val="22"/>
        </w:rPr>
        <w:t>, to ensure that the safety issue has been appropriately covered and managed</w:t>
      </w:r>
      <w:r w:rsidR="00AA6E7B" w:rsidRPr="00100D7E">
        <w:rPr>
          <w:rFonts w:cs="Arial"/>
          <w:szCs w:val="22"/>
        </w:rPr>
        <w:t>.</w:t>
      </w:r>
    </w:p>
    <w:p w:rsidR="002210F4" w:rsidRDefault="002210F4" w:rsidP="00AA6E7B">
      <w:pPr>
        <w:spacing w:line="280" w:lineRule="atLeast"/>
        <w:rPr>
          <w:rFonts w:cs="Arial"/>
          <w:szCs w:val="22"/>
        </w:rPr>
      </w:pPr>
    </w:p>
    <w:p w:rsidR="002210F4" w:rsidRDefault="0012732F" w:rsidP="00AA6E7B">
      <w:pPr>
        <w:spacing w:line="280" w:lineRule="atLeast"/>
        <w:rPr>
          <w:rFonts w:cs="Arial"/>
          <w:szCs w:val="22"/>
        </w:rPr>
      </w:pPr>
      <w:r>
        <w:rPr>
          <w:rFonts w:cs="Arial"/>
          <w:szCs w:val="22"/>
        </w:rPr>
        <w:t>DHCP</w:t>
      </w:r>
      <w:r w:rsidR="002210F4">
        <w:rPr>
          <w:rFonts w:cs="Arial"/>
          <w:szCs w:val="22"/>
        </w:rPr>
        <w:t xml:space="preserve"> letters </w:t>
      </w:r>
      <w:r w:rsidR="002B076A">
        <w:rPr>
          <w:rFonts w:cs="Arial"/>
          <w:szCs w:val="22"/>
        </w:rPr>
        <w:t>may</w:t>
      </w:r>
      <w:r w:rsidR="002210F4">
        <w:rPr>
          <w:rFonts w:cs="Arial"/>
          <w:szCs w:val="22"/>
        </w:rPr>
        <w:t xml:space="preserve"> be published on the Medsafe website with the sponsor’s agreement.</w:t>
      </w:r>
    </w:p>
    <w:p w:rsidR="00A63D92" w:rsidRDefault="00A63D92" w:rsidP="00AA6E7B">
      <w:pPr>
        <w:spacing w:line="280" w:lineRule="atLeast"/>
        <w:rPr>
          <w:rFonts w:cs="Arial"/>
          <w:szCs w:val="22"/>
        </w:rPr>
      </w:pPr>
    </w:p>
    <w:p w:rsidR="00EE7EEF" w:rsidRDefault="00EE7EEF" w:rsidP="00AA6E7B">
      <w:pPr>
        <w:spacing w:line="280" w:lineRule="atLeast"/>
        <w:rPr>
          <w:rFonts w:cs="Arial"/>
          <w:szCs w:val="22"/>
        </w:rPr>
      </w:pPr>
    </w:p>
    <w:p w:rsidR="00EE7EEF" w:rsidRPr="00EE7EEF" w:rsidRDefault="00EE7EEF" w:rsidP="00EE7EEF">
      <w:pPr>
        <w:pStyle w:val="NoHeading2"/>
        <w:keepNext/>
        <w:spacing w:before="120"/>
        <w:ind w:left="1140" w:right="340" w:hanging="1140"/>
      </w:pPr>
      <w:bookmarkStart w:id="190" w:name="_Toc414346453"/>
      <w:bookmarkStart w:id="191" w:name="_Toc414522842"/>
      <w:r w:rsidRPr="00EE7EEF">
        <w:t>7.3</w:t>
      </w:r>
      <w:r w:rsidRPr="00EE7EEF">
        <w:tab/>
        <w:t xml:space="preserve">Other </w:t>
      </w:r>
      <w:r w:rsidR="002D7289">
        <w:t>s</w:t>
      </w:r>
      <w:r w:rsidRPr="00EE7EEF">
        <w:t>afety communications</w:t>
      </w:r>
      <w:bookmarkEnd w:id="190"/>
      <w:bookmarkEnd w:id="191"/>
    </w:p>
    <w:p w:rsidR="00EE7EEF" w:rsidRDefault="00EE7EEF" w:rsidP="00AA6E7B">
      <w:pPr>
        <w:spacing w:line="280" w:lineRule="atLeast"/>
        <w:rPr>
          <w:rFonts w:cs="Arial"/>
          <w:szCs w:val="22"/>
        </w:rPr>
      </w:pPr>
    </w:p>
    <w:p w:rsidR="001470EE" w:rsidRDefault="00EE7EEF" w:rsidP="00AA6E7B">
      <w:pPr>
        <w:spacing w:line="280" w:lineRule="atLeast"/>
        <w:rPr>
          <w:rFonts w:cs="Arial"/>
          <w:szCs w:val="22"/>
        </w:rPr>
      </w:pPr>
      <w:r>
        <w:rPr>
          <w:rFonts w:cs="Arial"/>
          <w:szCs w:val="22"/>
        </w:rPr>
        <w:t xml:space="preserve">Sponsors </w:t>
      </w:r>
      <w:r w:rsidR="001470EE">
        <w:rPr>
          <w:rFonts w:cs="Arial"/>
          <w:szCs w:val="22"/>
        </w:rPr>
        <w:t xml:space="preserve">may choose to </w:t>
      </w:r>
      <w:r>
        <w:rPr>
          <w:rFonts w:cs="Arial"/>
          <w:szCs w:val="22"/>
        </w:rPr>
        <w:t>plac</w:t>
      </w:r>
      <w:r w:rsidR="001470EE">
        <w:rPr>
          <w:rFonts w:cs="Arial"/>
          <w:szCs w:val="22"/>
        </w:rPr>
        <w:t>e</w:t>
      </w:r>
      <w:r>
        <w:rPr>
          <w:rFonts w:cs="Arial"/>
          <w:szCs w:val="22"/>
        </w:rPr>
        <w:t xml:space="preserve"> </w:t>
      </w:r>
      <w:r w:rsidR="00B605B1">
        <w:rPr>
          <w:rFonts w:cs="Arial"/>
          <w:szCs w:val="22"/>
        </w:rPr>
        <w:t xml:space="preserve">risk minimisation and </w:t>
      </w:r>
      <w:r>
        <w:rPr>
          <w:rFonts w:cs="Arial"/>
          <w:szCs w:val="22"/>
        </w:rPr>
        <w:t xml:space="preserve">safety </w:t>
      </w:r>
      <w:r w:rsidR="001470EE">
        <w:rPr>
          <w:rFonts w:cs="Arial"/>
          <w:szCs w:val="22"/>
        </w:rPr>
        <w:t>communications</w:t>
      </w:r>
      <w:r>
        <w:rPr>
          <w:rFonts w:cs="Arial"/>
          <w:szCs w:val="22"/>
        </w:rPr>
        <w:t xml:space="preserve"> </w:t>
      </w:r>
      <w:r w:rsidR="00B605B1">
        <w:rPr>
          <w:rFonts w:cs="Arial"/>
          <w:szCs w:val="22"/>
        </w:rPr>
        <w:t xml:space="preserve">about their medicines </w:t>
      </w:r>
      <w:r>
        <w:rPr>
          <w:rFonts w:cs="Arial"/>
          <w:szCs w:val="22"/>
        </w:rPr>
        <w:t xml:space="preserve">in bulletins and newsletters, company websites or using internet-based communications </w:t>
      </w:r>
      <w:r w:rsidR="00B605B1">
        <w:rPr>
          <w:rFonts w:cs="Arial"/>
          <w:szCs w:val="22"/>
        </w:rPr>
        <w:t>(</w:t>
      </w:r>
      <w:proofErr w:type="spellStart"/>
      <w:r w:rsidR="004946D0">
        <w:rPr>
          <w:rFonts w:cs="Arial"/>
          <w:szCs w:val="22"/>
        </w:rPr>
        <w:t>eg</w:t>
      </w:r>
      <w:proofErr w:type="spellEnd"/>
      <w:r w:rsidR="004946D0">
        <w:rPr>
          <w:rFonts w:cs="Arial"/>
          <w:szCs w:val="22"/>
        </w:rPr>
        <w:t>,</w:t>
      </w:r>
      <w:r>
        <w:rPr>
          <w:rFonts w:cs="Arial"/>
          <w:szCs w:val="22"/>
        </w:rPr>
        <w:t xml:space="preserve"> Tw</w:t>
      </w:r>
      <w:r w:rsidR="004946D0">
        <w:rPr>
          <w:rFonts w:cs="Arial"/>
          <w:szCs w:val="22"/>
        </w:rPr>
        <w:t>it</w:t>
      </w:r>
      <w:r>
        <w:rPr>
          <w:rFonts w:cs="Arial"/>
          <w:szCs w:val="22"/>
        </w:rPr>
        <w:t>ter®, Facebook®</w:t>
      </w:r>
      <w:r w:rsidR="00B605B1">
        <w:rPr>
          <w:rFonts w:cs="Arial"/>
          <w:szCs w:val="22"/>
        </w:rPr>
        <w:t>)</w:t>
      </w:r>
      <w:r>
        <w:rPr>
          <w:rFonts w:cs="Arial"/>
          <w:szCs w:val="22"/>
        </w:rPr>
        <w:t xml:space="preserve"> </w:t>
      </w:r>
      <w:r w:rsidR="00B605B1">
        <w:rPr>
          <w:rFonts w:cs="Arial"/>
          <w:szCs w:val="22"/>
        </w:rPr>
        <w:t>or mobile phone a</w:t>
      </w:r>
      <w:r>
        <w:rPr>
          <w:rFonts w:cs="Arial"/>
          <w:szCs w:val="22"/>
        </w:rPr>
        <w:t>pps</w:t>
      </w:r>
      <w:r w:rsidR="001470EE">
        <w:rPr>
          <w:rFonts w:cs="Arial"/>
          <w:szCs w:val="22"/>
        </w:rPr>
        <w:t xml:space="preserve">. </w:t>
      </w:r>
    </w:p>
    <w:p w:rsidR="001470EE" w:rsidRDefault="001470EE" w:rsidP="00AA6E7B">
      <w:pPr>
        <w:spacing w:line="280" w:lineRule="atLeast"/>
        <w:rPr>
          <w:rFonts w:cs="Arial"/>
          <w:szCs w:val="22"/>
        </w:rPr>
      </w:pPr>
    </w:p>
    <w:p w:rsidR="00EE7EEF" w:rsidRDefault="00FF0C69" w:rsidP="00AA6E7B">
      <w:pPr>
        <w:spacing w:line="280" w:lineRule="atLeast"/>
        <w:rPr>
          <w:rFonts w:cs="Arial"/>
          <w:szCs w:val="22"/>
        </w:rPr>
      </w:pPr>
      <w:r>
        <w:rPr>
          <w:rFonts w:cs="Arial"/>
          <w:szCs w:val="22"/>
        </w:rPr>
        <w:t>Medsafe</w:t>
      </w:r>
      <w:r w:rsidR="001470EE">
        <w:rPr>
          <w:rFonts w:cs="Arial"/>
          <w:szCs w:val="22"/>
        </w:rPr>
        <w:t xml:space="preserve"> recommend</w:t>
      </w:r>
      <w:r>
        <w:rPr>
          <w:rFonts w:cs="Arial"/>
          <w:szCs w:val="22"/>
        </w:rPr>
        <w:t>s</w:t>
      </w:r>
      <w:r w:rsidR="001470EE">
        <w:rPr>
          <w:rFonts w:cs="Arial"/>
          <w:szCs w:val="22"/>
        </w:rPr>
        <w:t xml:space="preserve"> that before doing so, sponsors should </w:t>
      </w:r>
      <w:r w:rsidR="00B605B1">
        <w:rPr>
          <w:rFonts w:cs="Arial"/>
          <w:szCs w:val="22"/>
        </w:rPr>
        <w:t xml:space="preserve">consider </w:t>
      </w:r>
      <w:r w:rsidR="001470EE">
        <w:rPr>
          <w:rFonts w:cs="Arial"/>
          <w:szCs w:val="22"/>
        </w:rPr>
        <w:t xml:space="preserve">involving consumers and healthcare professionals in preparing and </w:t>
      </w:r>
      <w:r w:rsidR="00B605B1">
        <w:rPr>
          <w:rFonts w:cs="Arial"/>
          <w:szCs w:val="22"/>
        </w:rPr>
        <w:t xml:space="preserve">field-testing their </w:t>
      </w:r>
      <w:r w:rsidR="001470EE">
        <w:rPr>
          <w:rFonts w:cs="Arial"/>
          <w:szCs w:val="22"/>
        </w:rPr>
        <w:t>communications</w:t>
      </w:r>
      <w:r w:rsidR="00B605B1">
        <w:rPr>
          <w:rFonts w:cs="Arial"/>
          <w:szCs w:val="22"/>
        </w:rPr>
        <w:t xml:space="preserve"> </w:t>
      </w:r>
      <w:r w:rsidR="001470EE">
        <w:rPr>
          <w:rFonts w:cs="Arial"/>
          <w:szCs w:val="22"/>
        </w:rPr>
        <w:t>in order to ensure that the scientific evidence supporting the safety messages are easily and clearly understood by the target audience(s)</w:t>
      </w:r>
      <w:r w:rsidR="00B605B1">
        <w:rPr>
          <w:rFonts w:cs="Arial"/>
          <w:szCs w:val="22"/>
        </w:rPr>
        <w:t>.</w:t>
      </w:r>
    </w:p>
    <w:p w:rsidR="00EE7EEF" w:rsidRDefault="00EE7EEF" w:rsidP="00AA6E7B">
      <w:pPr>
        <w:spacing w:line="280" w:lineRule="atLeast"/>
        <w:rPr>
          <w:rFonts w:cs="Arial"/>
          <w:szCs w:val="22"/>
        </w:rPr>
      </w:pPr>
    </w:p>
    <w:p w:rsidR="00EE7EEF" w:rsidRDefault="00EE7EEF" w:rsidP="00AA6E7B">
      <w:pPr>
        <w:spacing w:line="280" w:lineRule="atLeast"/>
        <w:rPr>
          <w:rFonts w:cs="Arial"/>
          <w:szCs w:val="22"/>
        </w:rPr>
      </w:pPr>
    </w:p>
    <w:p w:rsidR="00A63D92" w:rsidRPr="007950DB" w:rsidRDefault="00ED5AF8" w:rsidP="007950DB">
      <w:pPr>
        <w:pStyle w:val="NoHeading2"/>
        <w:keepNext/>
        <w:spacing w:before="120"/>
        <w:ind w:left="1140" w:right="340" w:hanging="1140"/>
      </w:pPr>
      <w:bookmarkStart w:id="192" w:name="_Toc414346454"/>
      <w:bookmarkStart w:id="193" w:name="_Toc414522843"/>
      <w:r>
        <w:t>7.4</w:t>
      </w:r>
      <w:r w:rsidR="007950DB">
        <w:tab/>
      </w:r>
      <w:r w:rsidR="002D7289">
        <w:t>Other e</w:t>
      </w:r>
      <w:r w:rsidR="00A63D92" w:rsidRPr="007950DB">
        <w:t xml:space="preserve">ducational </w:t>
      </w:r>
      <w:r w:rsidR="002D7289">
        <w:t>m</w:t>
      </w:r>
      <w:r w:rsidR="00A63D92" w:rsidRPr="007950DB">
        <w:t>aterials</w:t>
      </w:r>
      <w:bookmarkEnd w:id="192"/>
      <w:bookmarkEnd w:id="193"/>
    </w:p>
    <w:p w:rsidR="00A63D92" w:rsidRDefault="00A63D92" w:rsidP="00AA6E7B">
      <w:pPr>
        <w:spacing w:line="280" w:lineRule="atLeast"/>
        <w:rPr>
          <w:rFonts w:cs="Arial"/>
          <w:szCs w:val="22"/>
        </w:rPr>
      </w:pPr>
    </w:p>
    <w:p w:rsidR="00A63D92" w:rsidRDefault="00A63D92" w:rsidP="00AA6E7B">
      <w:pPr>
        <w:spacing w:line="280" w:lineRule="atLeast"/>
        <w:rPr>
          <w:rFonts w:cs="Arial"/>
          <w:szCs w:val="22"/>
        </w:rPr>
      </w:pPr>
      <w:r>
        <w:rPr>
          <w:rFonts w:cs="Arial"/>
          <w:szCs w:val="22"/>
        </w:rPr>
        <w:t xml:space="preserve">It is desirable that any communications materials </w:t>
      </w:r>
      <w:r w:rsidR="007950DB">
        <w:rPr>
          <w:rFonts w:cs="Arial"/>
          <w:szCs w:val="22"/>
        </w:rPr>
        <w:t>(</w:t>
      </w:r>
      <w:proofErr w:type="spellStart"/>
      <w:r w:rsidR="004946D0">
        <w:rPr>
          <w:rFonts w:cs="Arial"/>
          <w:szCs w:val="22"/>
        </w:rPr>
        <w:t>eg</w:t>
      </w:r>
      <w:proofErr w:type="spellEnd"/>
      <w:r w:rsidR="004946D0">
        <w:rPr>
          <w:rFonts w:cs="Arial"/>
          <w:szCs w:val="22"/>
        </w:rPr>
        <w:t>,</w:t>
      </w:r>
      <w:r>
        <w:rPr>
          <w:rFonts w:cs="Arial"/>
          <w:szCs w:val="22"/>
        </w:rPr>
        <w:t xml:space="preserve"> publications</w:t>
      </w:r>
      <w:r w:rsidR="004946D0">
        <w:rPr>
          <w:rFonts w:cs="Arial"/>
          <w:szCs w:val="22"/>
        </w:rPr>
        <w:t>, brochures, fly</w:t>
      </w:r>
      <w:r w:rsidR="007950DB">
        <w:rPr>
          <w:rFonts w:cs="Arial"/>
          <w:szCs w:val="22"/>
        </w:rPr>
        <w:t>ers)</w:t>
      </w:r>
      <w:r>
        <w:rPr>
          <w:rFonts w:cs="Arial"/>
          <w:szCs w:val="22"/>
        </w:rPr>
        <w:t xml:space="preserve"> on matters relating to medicines safety should be made available to Medsafe prior to </w:t>
      </w:r>
      <w:r w:rsidR="007950DB">
        <w:rPr>
          <w:rFonts w:cs="Arial"/>
          <w:szCs w:val="22"/>
        </w:rPr>
        <w:t>distribution.</w:t>
      </w:r>
    </w:p>
    <w:p w:rsidR="007950DB" w:rsidRDefault="007950DB" w:rsidP="00AA6E7B">
      <w:pPr>
        <w:spacing w:line="280" w:lineRule="atLeast"/>
        <w:rPr>
          <w:rFonts w:cs="Arial"/>
          <w:szCs w:val="22"/>
        </w:rPr>
      </w:pPr>
    </w:p>
    <w:p w:rsidR="007950DB" w:rsidRDefault="007950DB" w:rsidP="00AA6E7B">
      <w:pPr>
        <w:spacing w:line="280" w:lineRule="atLeast"/>
        <w:rPr>
          <w:rFonts w:cs="Arial"/>
          <w:szCs w:val="22"/>
        </w:rPr>
      </w:pPr>
    </w:p>
    <w:p w:rsidR="002A65D0" w:rsidRDefault="002A65D0">
      <w:pPr>
        <w:rPr>
          <w:rFonts w:cs="Arial"/>
          <w:b/>
          <w:color w:val="008080"/>
          <w:sz w:val="36"/>
          <w:szCs w:val="22"/>
        </w:rPr>
      </w:pPr>
    </w:p>
    <w:p w:rsidR="002210F4" w:rsidRDefault="002210F4">
      <w:pPr>
        <w:rPr>
          <w:rFonts w:cs="Arial"/>
          <w:b/>
          <w:color w:val="008080"/>
          <w:sz w:val="36"/>
          <w:szCs w:val="22"/>
        </w:rPr>
      </w:pPr>
      <w:r>
        <w:rPr>
          <w:szCs w:val="22"/>
        </w:rPr>
        <w:br w:type="page"/>
      </w:r>
    </w:p>
    <w:p w:rsidR="00F545C9" w:rsidRDefault="00A63D92" w:rsidP="002A65D0">
      <w:pPr>
        <w:pStyle w:val="NoHeading1"/>
        <w:spacing w:after="0" w:line="280" w:lineRule="atLeast"/>
        <w:ind w:right="340"/>
        <w:rPr>
          <w:szCs w:val="22"/>
        </w:rPr>
      </w:pPr>
      <w:bookmarkStart w:id="194" w:name="_Toc414346455"/>
      <w:bookmarkStart w:id="195" w:name="_Toc414522844"/>
      <w:r>
        <w:rPr>
          <w:szCs w:val="22"/>
        </w:rPr>
        <w:t>Section 8</w:t>
      </w:r>
      <w:r w:rsidR="00F545C9">
        <w:rPr>
          <w:szCs w:val="22"/>
        </w:rPr>
        <w:t>:</w:t>
      </w:r>
      <w:r w:rsidR="00F545C9">
        <w:rPr>
          <w:szCs w:val="22"/>
        </w:rPr>
        <w:tab/>
        <w:t>Glossary</w:t>
      </w:r>
      <w:bookmarkEnd w:id="194"/>
      <w:bookmarkEnd w:id="195"/>
      <w:r w:rsidR="00CD3E3A">
        <w:rPr>
          <w:szCs w:val="22"/>
        </w:rPr>
        <w:t xml:space="preserve"> </w:t>
      </w:r>
    </w:p>
    <w:p w:rsidR="00F545C9" w:rsidRDefault="00F545C9" w:rsidP="009D004E">
      <w:pPr>
        <w:spacing w:before="120" w:after="120"/>
        <w:rPr>
          <w:rFonts w:cs="Arial"/>
          <w:szCs w:val="22"/>
        </w:rPr>
      </w:pPr>
    </w:p>
    <w:p w:rsidR="00CD3E3A" w:rsidRDefault="00CD3E3A" w:rsidP="009D004E">
      <w:pPr>
        <w:spacing w:before="120" w:after="120"/>
        <w:rPr>
          <w:rFonts w:cs="Arial"/>
          <w:szCs w:val="22"/>
        </w:rPr>
      </w:pPr>
    </w:p>
    <w:tbl>
      <w:tblPr>
        <w:tblStyle w:val="TableGrid"/>
        <w:tblW w:w="0" w:type="auto"/>
        <w:tblLook w:val="04A0" w:firstRow="1" w:lastRow="0" w:firstColumn="1" w:lastColumn="0" w:noHBand="0" w:noVBand="1"/>
      </w:tblPr>
      <w:tblGrid>
        <w:gridCol w:w="1796"/>
        <w:gridCol w:w="6733"/>
      </w:tblGrid>
      <w:tr w:rsidR="008E53F7" w:rsidTr="00035167">
        <w:tc>
          <w:tcPr>
            <w:tcW w:w="1796" w:type="dxa"/>
          </w:tcPr>
          <w:p w:rsidR="008E53F7" w:rsidRDefault="008E53F7" w:rsidP="008E53F7">
            <w:pPr>
              <w:spacing w:before="120" w:after="120"/>
              <w:rPr>
                <w:rFonts w:cs="Arial"/>
                <w:szCs w:val="22"/>
              </w:rPr>
            </w:pPr>
            <w:r>
              <w:rPr>
                <w:rFonts w:cs="Arial"/>
                <w:szCs w:val="22"/>
              </w:rPr>
              <w:t>Adverse effect</w:t>
            </w:r>
          </w:p>
        </w:tc>
        <w:tc>
          <w:tcPr>
            <w:tcW w:w="6733" w:type="dxa"/>
          </w:tcPr>
          <w:p w:rsidR="008E53F7" w:rsidRDefault="008E53F7" w:rsidP="002A65D0">
            <w:pPr>
              <w:spacing w:before="120" w:after="120"/>
              <w:rPr>
                <w:rFonts w:cs="Arial"/>
                <w:szCs w:val="22"/>
              </w:rPr>
            </w:pPr>
            <w:r>
              <w:rPr>
                <w:rFonts w:cs="Arial"/>
                <w:szCs w:val="22"/>
              </w:rPr>
              <w:t xml:space="preserve">An </w:t>
            </w:r>
            <w:r w:rsidRPr="002A65D0">
              <w:rPr>
                <w:rFonts w:cs="Arial"/>
                <w:b/>
                <w:szCs w:val="22"/>
              </w:rPr>
              <w:t>adverse effect</w:t>
            </w:r>
            <w:r>
              <w:rPr>
                <w:rFonts w:cs="Arial"/>
                <w:szCs w:val="22"/>
              </w:rPr>
              <w:t xml:space="preserve">, or </w:t>
            </w:r>
            <w:r w:rsidRPr="002A65D0">
              <w:rPr>
                <w:rFonts w:cs="Arial"/>
                <w:b/>
                <w:szCs w:val="22"/>
              </w:rPr>
              <w:t>adverse event</w:t>
            </w:r>
            <w:r>
              <w:rPr>
                <w:rFonts w:cs="Arial"/>
                <w:szCs w:val="22"/>
              </w:rPr>
              <w:t xml:space="preserve"> (AE), is taken to mean any untoward medical occurrence in a patient administered a medicine, and which may or may not have a causal relationship between the event and the treatment. Examples are the patient being involved in an accident, or catching a cold while on the treatment. However, many reports of similar adverse events occurring may provide a signal regarding causality. </w:t>
            </w:r>
          </w:p>
        </w:tc>
      </w:tr>
      <w:tr w:rsidR="00451A6F" w:rsidTr="00035167">
        <w:tc>
          <w:tcPr>
            <w:tcW w:w="1796" w:type="dxa"/>
          </w:tcPr>
          <w:p w:rsidR="00451A6F" w:rsidRDefault="00451A6F" w:rsidP="007F0424">
            <w:pPr>
              <w:spacing w:before="120" w:after="120"/>
              <w:rPr>
                <w:rFonts w:cs="Arial"/>
                <w:szCs w:val="22"/>
              </w:rPr>
            </w:pPr>
            <w:r>
              <w:rPr>
                <w:rFonts w:cs="Arial"/>
                <w:szCs w:val="22"/>
              </w:rPr>
              <w:t>Adverse event</w:t>
            </w:r>
          </w:p>
        </w:tc>
        <w:tc>
          <w:tcPr>
            <w:tcW w:w="6733" w:type="dxa"/>
          </w:tcPr>
          <w:p w:rsidR="00451A6F" w:rsidRDefault="00451A6F" w:rsidP="007F0424">
            <w:pPr>
              <w:spacing w:before="120" w:after="120"/>
              <w:rPr>
                <w:rFonts w:cs="Arial"/>
                <w:szCs w:val="22"/>
              </w:rPr>
            </w:pPr>
            <w:r>
              <w:rPr>
                <w:rFonts w:cs="Arial"/>
                <w:szCs w:val="22"/>
              </w:rPr>
              <w:t xml:space="preserve">Alternative term for </w:t>
            </w:r>
            <w:r w:rsidRPr="00C93B0E">
              <w:rPr>
                <w:rFonts w:cs="Arial"/>
                <w:b/>
                <w:szCs w:val="22"/>
              </w:rPr>
              <w:t>Adverse effect</w:t>
            </w:r>
            <w:r>
              <w:rPr>
                <w:rFonts w:cs="Arial"/>
                <w:szCs w:val="22"/>
              </w:rPr>
              <w:t>.</w:t>
            </w:r>
          </w:p>
        </w:tc>
      </w:tr>
      <w:tr w:rsidR="008E53F7" w:rsidTr="00035167">
        <w:tc>
          <w:tcPr>
            <w:tcW w:w="1796" w:type="dxa"/>
          </w:tcPr>
          <w:p w:rsidR="008E53F7" w:rsidRDefault="00C93B0E" w:rsidP="008E53F7">
            <w:pPr>
              <w:spacing w:before="120" w:after="120"/>
              <w:rPr>
                <w:rFonts w:cs="Arial"/>
                <w:szCs w:val="22"/>
              </w:rPr>
            </w:pPr>
            <w:r>
              <w:rPr>
                <w:rFonts w:cs="Arial"/>
                <w:szCs w:val="22"/>
              </w:rPr>
              <w:t>Adverse drug reaction</w:t>
            </w:r>
          </w:p>
        </w:tc>
        <w:tc>
          <w:tcPr>
            <w:tcW w:w="6733" w:type="dxa"/>
          </w:tcPr>
          <w:p w:rsidR="003F4EE4" w:rsidRDefault="00451A6F" w:rsidP="003F4EE4">
            <w:pPr>
              <w:spacing w:before="120" w:after="120"/>
              <w:rPr>
                <w:rFonts w:cs="Arial"/>
                <w:szCs w:val="22"/>
              </w:rPr>
            </w:pPr>
            <w:r>
              <w:rPr>
                <w:rFonts w:cs="Arial"/>
                <w:szCs w:val="22"/>
              </w:rPr>
              <w:t xml:space="preserve">The term </w:t>
            </w:r>
            <w:r w:rsidR="00C93B0E" w:rsidRPr="00BD215C">
              <w:rPr>
                <w:rFonts w:cs="Arial"/>
                <w:b/>
                <w:szCs w:val="22"/>
              </w:rPr>
              <w:t>adverse drug reaction</w:t>
            </w:r>
            <w:r w:rsidR="00C93B0E">
              <w:rPr>
                <w:rFonts w:cs="Arial"/>
                <w:szCs w:val="22"/>
              </w:rPr>
              <w:t xml:space="preserve"> (ADR) is used to describe an unwanted, unintended, or unexpected effect to a medicine that has been taken. </w:t>
            </w:r>
            <w:r w:rsidR="003F4EE4">
              <w:rPr>
                <w:rFonts w:cs="Arial"/>
                <w:szCs w:val="22"/>
              </w:rPr>
              <w:t xml:space="preserve">This term is synonymous with </w:t>
            </w:r>
            <w:r w:rsidR="003F4EE4" w:rsidRPr="002D7289">
              <w:rPr>
                <w:rFonts w:cs="Arial"/>
                <w:b/>
                <w:szCs w:val="22"/>
              </w:rPr>
              <w:t>adverse medicine reaction</w:t>
            </w:r>
            <w:r w:rsidR="00295E73">
              <w:rPr>
                <w:rFonts w:cs="Arial"/>
                <w:szCs w:val="22"/>
              </w:rPr>
              <w:t xml:space="preserve"> and </w:t>
            </w:r>
            <w:r w:rsidR="00295E73" w:rsidRPr="002D7289">
              <w:rPr>
                <w:rFonts w:cs="Arial"/>
                <w:b/>
                <w:szCs w:val="22"/>
              </w:rPr>
              <w:t>adverse reaction</w:t>
            </w:r>
            <w:r w:rsidR="00295E73">
              <w:rPr>
                <w:rFonts w:cs="Arial"/>
                <w:szCs w:val="22"/>
              </w:rPr>
              <w:t xml:space="preserve"> (AR)</w:t>
            </w:r>
            <w:r w:rsidR="003F4EE4">
              <w:rPr>
                <w:rFonts w:cs="Arial"/>
                <w:szCs w:val="22"/>
              </w:rPr>
              <w:t xml:space="preserve">. </w:t>
            </w:r>
          </w:p>
          <w:p w:rsidR="008E53F7" w:rsidRDefault="00C93B0E" w:rsidP="003F4EE4">
            <w:pPr>
              <w:spacing w:before="120" w:after="120"/>
              <w:rPr>
                <w:rFonts w:cs="Arial"/>
                <w:szCs w:val="22"/>
              </w:rPr>
            </w:pPr>
            <w:r>
              <w:rPr>
                <w:rFonts w:cs="Arial"/>
                <w:szCs w:val="22"/>
              </w:rPr>
              <w:t xml:space="preserve">Some adverse reactions may involve a known reaction, or an unexpected scale of effect to a known reaction. Other types of reactions may have been unforeseen, based on the medicine’s known pharmacology. The onset of reactions may be sudden, or develop over a period of time, or after completion of treatment (such as withdrawal symptoms). </w:t>
            </w:r>
          </w:p>
        </w:tc>
      </w:tr>
      <w:tr w:rsidR="00C93B0E" w:rsidTr="00035167">
        <w:tc>
          <w:tcPr>
            <w:tcW w:w="1796" w:type="dxa"/>
          </w:tcPr>
          <w:p w:rsidR="00C93B0E" w:rsidRDefault="00C93B0E" w:rsidP="003D2353">
            <w:pPr>
              <w:spacing w:before="120" w:after="120"/>
              <w:rPr>
                <w:rFonts w:cs="Arial"/>
                <w:szCs w:val="22"/>
              </w:rPr>
            </w:pPr>
            <w:r>
              <w:rPr>
                <w:rFonts w:cs="Arial"/>
                <w:szCs w:val="22"/>
              </w:rPr>
              <w:t>CARM</w:t>
            </w:r>
          </w:p>
          <w:p w:rsidR="00C93B0E" w:rsidRDefault="00C93B0E" w:rsidP="003D2353">
            <w:pPr>
              <w:spacing w:before="120" w:after="120"/>
              <w:rPr>
                <w:rFonts w:cs="Arial"/>
                <w:szCs w:val="22"/>
              </w:rPr>
            </w:pPr>
          </w:p>
        </w:tc>
        <w:tc>
          <w:tcPr>
            <w:tcW w:w="6733" w:type="dxa"/>
          </w:tcPr>
          <w:p w:rsidR="00C93B0E" w:rsidRDefault="00C93B0E" w:rsidP="003D2353">
            <w:pPr>
              <w:spacing w:before="120" w:after="120"/>
              <w:rPr>
                <w:rFonts w:cs="Arial"/>
                <w:szCs w:val="22"/>
              </w:rPr>
            </w:pPr>
            <w:r>
              <w:rPr>
                <w:rFonts w:cs="Arial"/>
                <w:szCs w:val="22"/>
              </w:rPr>
              <w:t xml:space="preserve">The Centre for Adverse Reactions Monitoring, based at the New Zealand </w:t>
            </w:r>
            <w:proofErr w:type="spellStart"/>
            <w:r>
              <w:rPr>
                <w:rFonts w:cs="Arial"/>
                <w:szCs w:val="22"/>
              </w:rPr>
              <w:t>Pharmacovigilance</w:t>
            </w:r>
            <w:proofErr w:type="spellEnd"/>
            <w:r>
              <w:rPr>
                <w:rFonts w:cs="Arial"/>
                <w:szCs w:val="22"/>
              </w:rPr>
              <w:t xml:space="preserve"> Centre </w:t>
            </w:r>
            <w:r w:rsidR="00F32513">
              <w:rPr>
                <w:rFonts w:cs="Arial"/>
                <w:szCs w:val="22"/>
              </w:rPr>
              <w:t xml:space="preserve">at the University of </w:t>
            </w:r>
            <w:proofErr w:type="spellStart"/>
            <w:r w:rsidR="00F32513">
              <w:rPr>
                <w:rFonts w:cs="Arial"/>
                <w:szCs w:val="22"/>
              </w:rPr>
              <w:t>Otago</w:t>
            </w:r>
            <w:proofErr w:type="spellEnd"/>
            <w:r w:rsidR="00F32513">
              <w:rPr>
                <w:rFonts w:cs="Arial"/>
                <w:szCs w:val="22"/>
              </w:rPr>
              <w:t xml:space="preserve"> </w:t>
            </w:r>
            <w:r>
              <w:rPr>
                <w:rFonts w:cs="Arial"/>
                <w:szCs w:val="22"/>
              </w:rPr>
              <w:t>in Dunedin.</w:t>
            </w:r>
          </w:p>
        </w:tc>
      </w:tr>
      <w:tr w:rsidR="008E53F7" w:rsidTr="00035167">
        <w:tc>
          <w:tcPr>
            <w:tcW w:w="1796" w:type="dxa"/>
          </w:tcPr>
          <w:p w:rsidR="008E53F7" w:rsidRDefault="00C93B0E" w:rsidP="008E53F7">
            <w:pPr>
              <w:spacing w:before="120" w:after="120"/>
              <w:rPr>
                <w:rFonts w:cs="Arial"/>
                <w:szCs w:val="22"/>
              </w:rPr>
            </w:pPr>
            <w:r>
              <w:rPr>
                <w:rFonts w:cs="Arial"/>
                <w:szCs w:val="22"/>
              </w:rPr>
              <w:t>Case report</w:t>
            </w:r>
          </w:p>
        </w:tc>
        <w:tc>
          <w:tcPr>
            <w:tcW w:w="6733" w:type="dxa"/>
          </w:tcPr>
          <w:p w:rsidR="008E53F7" w:rsidRDefault="00451A6F" w:rsidP="009D004E">
            <w:pPr>
              <w:spacing w:before="120" w:after="120"/>
              <w:rPr>
                <w:rFonts w:cs="Arial"/>
                <w:szCs w:val="22"/>
              </w:rPr>
            </w:pPr>
            <w:r>
              <w:rPr>
                <w:rFonts w:cs="Arial"/>
                <w:szCs w:val="22"/>
              </w:rPr>
              <w:t>Alternative term for Individual Case Safety Report (ICSR).</w:t>
            </w:r>
          </w:p>
        </w:tc>
      </w:tr>
      <w:tr w:rsidR="00C93B0E" w:rsidTr="00035167">
        <w:tc>
          <w:tcPr>
            <w:tcW w:w="1796" w:type="dxa"/>
          </w:tcPr>
          <w:p w:rsidR="00C93B0E" w:rsidRDefault="00C93B0E" w:rsidP="003D2353">
            <w:pPr>
              <w:spacing w:before="120" w:after="120"/>
              <w:rPr>
                <w:rFonts w:cs="Arial"/>
                <w:szCs w:val="22"/>
              </w:rPr>
            </w:pPr>
            <w:r>
              <w:rPr>
                <w:rFonts w:cs="Arial"/>
                <w:szCs w:val="22"/>
              </w:rPr>
              <w:t>Causality</w:t>
            </w:r>
          </w:p>
        </w:tc>
        <w:tc>
          <w:tcPr>
            <w:tcW w:w="6733" w:type="dxa"/>
          </w:tcPr>
          <w:p w:rsidR="00C93B0E" w:rsidRDefault="00451A6F" w:rsidP="003D2353">
            <w:pPr>
              <w:spacing w:before="120" w:after="120"/>
              <w:rPr>
                <w:rFonts w:cs="Arial"/>
                <w:szCs w:val="22"/>
              </w:rPr>
            </w:pPr>
            <w:r>
              <w:rPr>
                <w:rFonts w:cs="Arial"/>
                <w:szCs w:val="22"/>
              </w:rPr>
              <w:t>The relationship between cause and effect.</w:t>
            </w:r>
          </w:p>
        </w:tc>
      </w:tr>
      <w:tr w:rsidR="00C93B0E" w:rsidTr="00035167">
        <w:tc>
          <w:tcPr>
            <w:tcW w:w="1796" w:type="dxa"/>
          </w:tcPr>
          <w:p w:rsidR="00C93B0E" w:rsidRDefault="00C93B0E" w:rsidP="00C93B0E">
            <w:pPr>
              <w:spacing w:before="120" w:after="120"/>
              <w:rPr>
                <w:rFonts w:cs="Arial"/>
                <w:szCs w:val="22"/>
              </w:rPr>
            </w:pPr>
            <w:r>
              <w:rPr>
                <w:rFonts w:cs="Arial"/>
                <w:szCs w:val="22"/>
              </w:rPr>
              <w:t>CIOMS</w:t>
            </w:r>
            <w:r>
              <w:rPr>
                <w:rFonts w:cs="Arial"/>
                <w:szCs w:val="22"/>
              </w:rPr>
              <w:tab/>
            </w:r>
          </w:p>
          <w:p w:rsidR="00C93B0E" w:rsidRDefault="00C93B0E" w:rsidP="00C93B0E">
            <w:pPr>
              <w:spacing w:before="120" w:after="120"/>
              <w:rPr>
                <w:rFonts w:cs="Arial"/>
                <w:szCs w:val="22"/>
              </w:rPr>
            </w:pPr>
          </w:p>
        </w:tc>
        <w:tc>
          <w:tcPr>
            <w:tcW w:w="6733" w:type="dxa"/>
          </w:tcPr>
          <w:p w:rsidR="00C93B0E" w:rsidRDefault="00C93B0E" w:rsidP="00F21C82">
            <w:pPr>
              <w:spacing w:before="120" w:after="120"/>
              <w:rPr>
                <w:rFonts w:cs="Arial"/>
                <w:szCs w:val="22"/>
              </w:rPr>
            </w:pPr>
            <w:r>
              <w:rPr>
                <w:rFonts w:cs="Arial"/>
                <w:szCs w:val="22"/>
              </w:rPr>
              <w:t>Council for International Organizations of Medical Sciences</w:t>
            </w:r>
            <w:r w:rsidR="00F21C82">
              <w:rPr>
                <w:rFonts w:cs="Arial"/>
                <w:szCs w:val="22"/>
              </w:rPr>
              <w:t>. CIOMS is an int</w:t>
            </w:r>
            <w:r w:rsidR="00F21C82" w:rsidRPr="00F21C82">
              <w:rPr>
                <w:rFonts w:cs="Arial"/>
                <w:szCs w:val="22"/>
              </w:rPr>
              <w:t>ernational, non-</w:t>
            </w:r>
            <w:r w:rsidR="00ED77FF">
              <w:rPr>
                <w:rFonts w:cs="Arial"/>
                <w:szCs w:val="22"/>
              </w:rPr>
              <w:t>governmental, non-profit organis</w:t>
            </w:r>
            <w:r w:rsidR="00F21C82" w:rsidRPr="00F21C82">
              <w:rPr>
                <w:rFonts w:cs="Arial"/>
                <w:szCs w:val="22"/>
              </w:rPr>
              <w:t>ation established jointly by WHO and UNESCO</w:t>
            </w:r>
            <w:r w:rsidR="00F21C82">
              <w:rPr>
                <w:rFonts w:cs="Arial"/>
                <w:szCs w:val="22"/>
              </w:rPr>
              <w:t>.</w:t>
            </w:r>
          </w:p>
          <w:p w:rsidR="009851C6" w:rsidRDefault="00F21C82" w:rsidP="009851C6">
            <w:pPr>
              <w:spacing w:before="120" w:after="120"/>
              <w:rPr>
                <w:rFonts w:cs="Arial"/>
                <w:szCs w:val="22"/>
              </w:rPr>
            </w:pPr>
            <w:r>
              <w:rPr>
                <w:rFonts w:cs="Arial"/>
                <w:szCs w:val="22"/>
              </w:rPr>
              <w:t xml:space="preserve">See: </w:t>
            </w:r>
            <w:hyperlink r:id="rId47" w:history="1">
              <w:r w:rsidR="009851C6" w:rsidRPr="00640754">
                <w:rPr>
                  <w:rStyle w:val="Hyperlink"/>
                  <w:rFonts w:cs="Arial"/>
                  <w:sz w:val="22"/>
                  <w:szCs w:val="22"/>
                </w:rPr>
                <w:t>www.cioms.ch/</w:t>
              </w:r>
            </w:hyperlink>
            <w:r w:rsidR="009851C6">
              <w:rPr>
                <w:rFonts w:cs="Arial"/>
                <w:szCs w:val="22"/>
              </w:rPr>
              <w:t xml:space="preserve"> </w:t>
            </w:r>
          </w:p>
        </w:tc>
      </w:tr>
      <w:tr w:rsidR="00687D8A" w:rsidTr="00035167">
        <w:tc>
          <w:tcPr>
            <w:tcW w:w="1796" w:type="dxa"/>
          </w:tcPr>
          <w:p w:rsidR="00687D8A" w:rsidRDefault="00687D8A" w:rsidP="00C93B0E">
            <w:pPr>
              <w:spacing w:before="120" w:after="120"/>
              <w:rPr>
                <w:rFonts w:cs="Arial"/>
                <w:szCs w:val="22"/>
              </w:rPr>
            </w:pPr>
            <w:r>
              <w:rPr>
                <w:rFonts w:cs="Arial"/>
                <w:szCs w:val="22"/>
              </w:rPr>
              <w:t>EMA</w:t>
            </w:r>
          </w:p>
        </w:tc>
        <w:tc>
          <w:tcPr>
            <w:tcW w:w="6733" w:type="dxa"/>
          </w:tcPr>
          <w:p w:rsidR="00687D8A" w:rsidRDefault="00687D8A" w:rsidP="00035167">
            <w:pPr>
              <w:spacing w:before="120" w:after="120"/>
              <w:rPr>
                <w:rFonts w:cs="Arial"/>
                <w:szCs w:val="22"/>
              </w:rPr>
            </w:pPr>
            <w:r>
              <w:rPr>
                <w:rFonts w:cs="Arial"/>
                <w:szCs w:val="22"/>
              </w:rPr>
              <w:t xml:space="preserve">The European Medicine Agency. The EMA is </w:t>
            </w:r>
            <w:r w:rsidRPr="00687D8A">
              <w:rPr>
                <w:rFonts w:cs="Arial"/>
                <w:szCs w:val="22"/>
              </w:rPr>
              <w:t xml:space="preserve">responsible for the scientific evaluation of applications for </w:t>
            </w:r>
            <w:r>
              <w:rPr>
                <w:rFonts w:cs="Arial"/>
                <w:szCs w:val="22"/>
              </w:rPr>
              <w:t xml:space="preserve">marketing medicines in the </w:t>
            </w:r>
            <w:r w:rsidRPr="00687D8A">
              <w:rPr>
                <w:rFonts w:cs="Arial"/>
                <w:szCs w:val="22"/>
              </w:rPr>
              <w:t>European Union (EU)</w:t>
            </w:r>
            <w:r>
              <w:rPr>
                <w:rFonts w:cs="Arial"/>
                <w:szCs w:val="22"/>
              </w:rPr>
              <w:t>.</w:t>
            </w:r>
          </w:p>
        </w:tc>
      </w:tr>
      <w:tr w:rsidR="00035167" w:rsidTr="00035167">
        <w:tc>
          <w:tcPr>
            <w:tcW w:w="1796" w:type="dxa"/>
          </w:tcPr>
          <w:p w:rsidR="00035167" w:rsidRDefault="00035167" w:rsidP="00C93B0E">
            <w:pPr>
              <w:spacing w:before="120" w:after="120"/>
              <w:rPr>
                <w:rFonts w:cs="Arial"/>
                <w:szCs w:val="22"/>
              </w:rPr>
            </w:pPr>
            <w:r>
              <w:rPr>
                <w:rFonts w:cs="Arial"/>
                <w:szCs w:val="22"/>
              </w:rPr>
              <w:t>EU</w:t>
            </w:r>
          </w:p>
        </w:tc>
        <w:tc>
          <w:tcPr>
            <w:tcW w:w="6733" w:type="dxa"/>
          </w:tcPr>
          <w:p w:rsidR="00035167" w:rsidRDefault="00035167" w:rsidP="00687D8A">
            <w:pPr>
              <w:spacing w:before="120" w:after="120"/>
              <w:rPr>
                <w:rFonts w:cs="Arial"/>
                <w:szCs w:val="22"/>
              </w:rPr>
            </w:pPr>
            <w:r>
              <w:rPr>
                <w:rFonts w:cs="Arial"/>
                <w:szCs w:val="22"/>
              </w:rPr>
              <w:t>European Union. An economic and political partnership between 28 European countries.</w:t>
            </w:r>
          </w:p>
        </w:tc>
      </w:tr>
      <w:tr w:rsidR="00F21C82" w:rsidTr="00035167">
        <w:tc>
          <w:tcPr>
            <w:tcW w:w="1796" w:type="dxa"/>
          </w:tcPr>
          <w:p w:rsidR="00F21C82" w:rsidRDefault="00F21C82" w:rsidP="00C93B0E">
            <w:pPr>
              <w:spacing w:before="120" w:after="120"/>
              <w:rPr>
                <w:rFonts w:cs="Arial"/>
                <w:szCs w:val="22"/>
              </w:rPr>
            </w:pPr>
            <w:r>
              <w:rPr>
                <w:rFonts w:cs="Arial"/>
                <w:szCs w:val="22"/>
              </w:rPr>
              <w:t>ICH</w:t>
            </w:r>
          </w:p>
        </w:tc>
        <w:tc>
          <w:tcPr>
            <w:tcW w:w="6733" w:type="dxa"/>
          </w:tcPr>
          <w:p w:rsidR="00F21C82" w:rsidRDefault="00F21C82" w:rsidP="003D2353">
            <w:pPr>
              <w:spacing w:before="120" w:after="120"/>
              <w:rPr>
                <w:rFonts w:cs="Arial"/>
                <w:szCs w:val="22"/>
              </w:rPr>
            </w:pPr>
            <w:r>
              <w:rPr>
                <w:rFonts w:cs="Arial"/>
                <w:szCs w:val="22"/>
              </w:rPr>
              <w:t xml:space="preserve">International Conference on Harmonisation. The ICH is an international approach towards making recommendations for achieving </w:t>
            </w:r>
            <w:r w:rsidRPr="00F21C82">
              <w:rPr>
                <w:rFonts w:cs="Arial"/>
                <w:szCs w:val="22"/>
              </w:rPr>
              <w:t>greater harmonisation in the interpretation and application of technical guidelines and requirements for pharmaceutical product registration</w:t>
            </w:r>
            <w:r w:rsidR="0064182A">
              <w:rPr>
                <w:rFonts w:cs="Arial"/>
                <w:szCs w:val="22"/>
              </w:rPr>
              <w:t>.</w:t>
            </w:r>
          </w:p>
        </w:tc>
      </w:tr>
      <w:tr w:rsidR="00451A6F" w:rsidTr="00035167">
        <w:tc>
          <w:tcPr>
            <w:tcW w:w="1796" w:type="dxa"/>
          </w:tcPr>
          <w:p w:rsidR="00451A6F" w:rsidRDefault="00451A6F" w:rsidP="00C93B0E">
            <w:pPr>
              <w:spacing w:before="120" w:after="120"/>
              <w:rPr>
                <w:rFonts w:cs="Arial"/>
                <w:szCs w:val="22"/>
              </w:rPr>
            </w:pPr>
            <w:r>
              <w:rPr>
                <w:rFonts w:cs="Arial"/>
                <w:szCs w:val="22"/>
              </w:rPr>
              <w:t>ICSR</w:t>
            </w:r>
          </w:p>
        </w:tc>
        <w:tc>
          <w:tcPr>
            <w:tcW w:w="6733" w:type="dxa"/>
          </w:tcPr>
          <w:p w:rsidR="00451A6F" w:rsidRDefault="00451A6F" w:rsidP="0012732F">
            <w:pPr>
              <w:spacing w:before="120" w:after="120"/>
              <w:rPr>
                <w:rFonts w:cs="Arial"/>
                <w:szCs w:val="22"/>
              </w:rPr>
            </w:pPr>
            <w:r w:rsidRPr="00451A6F">
              <w:rPr>
                <w:rFonts w:cs="Arial"/>
                <w:szCs w:val="22"/>
              </w:rPr>
              <w:t>Ind</w:t>
            </w:r>
            <w:r w:rsidR="0012732F">
              <w:rPr>
                <w:rFonts w:cs="Arial"/>
                <w:szCs w:val="22"/>
              </w:rPr>
              <w:t xml:space="preserve">ividual Case Study Report </w:t>
            </w:r>
            <w:r w:rsidRPr="00451A6F">
              <w:rPr>
                <w:rFonts w:cs="Arial"/>
                <w:szCs w:val="22"/>
              </w:rPr>
              <w:t>is an adverse event report for an individual patient.</w:t>
            </w:r>
          </w:p>
        </w:tc>
      </w:tr>
      <w:tr w:rsidR="00C93B0E" w:rsidTr="00035167">
        <w:tc>
          <w:tcPr>
            <w:tcW w:w="1796" w:type="dxa"/>
          </w:tcPr>
          <w:p w:rsidR="00C93B0E" w:rsidRDefault="00C93B0E" w:rsidP="003D2353">
            <w:pPr>
              <w:spacing w:before="120" w:after="120"/>
              <w:rPr>
                <w:rFonts w:cs="Arial"/>
                <w:szCs w:val="22"/>
              </w:rPr>
            </w:pPr>
            <w:r>
              <w:rPr>
                <w:rFonts w:cs="Arial"/>
                <w:szCs w:val="22"/>
              </w:rPr>
              <w:t>MARC</w:t>
            </w:r>
          </w:p>
        </w:tc>
        <w:tc>
          <w:tcPr>
            <w:tcW w:w="6733" w:type="dxa"/>
          </w:tcPr>
          <w:p w:rsidR="00C93B0E" w:rsidRDefault="00451A6F" w:rsidP="003D2353">
            <w:pPr>
              <w:spacing w:before="120" w:after="120"/>
              <w:rPr>
                <w:rFonts w:cs="Arial"/>
                <w:szCs w:val="22"/>
              </w:rPr>
            </w:pPr>
            <w:r>
              <w:rPr>
                <w:rFonts w:cs="Arial"/>
                <w:szCs w:val="22"/>
              </w:rPr>
              <w:t>Medicines Adverse Reaction</w:t>
            </w:r>
            <w:r w:rsidR="00ED77FF">
              <w:rPr>
                <w:rFonts w:cs="Arial"/>
                <w:szCs w:val="22"/>
              </w:rPr>
              <w:t>s</w:t>
            </w:r>
            <w:r>
              <w:rPr>
                <w:rFonts w:cs="Arial"/>
                <w:szCs w:val="22"/>
              </w:rPr>
              <w:t xml:space="preserve"> Committee</w:t>
            </w:r>
            <w:r w:rsidR="00ED77FF">
              <w:rPr>
                <w:rFonts w:cs="Arial"/>
                <w:szCs w:val="22"/>
              </w:rPr>
              <w:t>.</w:t>
            </w:r>
          </w:p>
        </w:tc>
      </w:tr>
      <w:tr w:rsidR="00ED5AF8" w:rsidTr="00035167">
        <w:tc>
          <w:tcPr>
            <w:tcW w:w="1796" w:type="dxa"/>
          </w:tcPr>
          <w:p w:rsidR="00ED5AF8" w:rsidRDefault="00ED5AF8" w:rsidP="003D2353">
            <w:pPr>
              <w:spacing w:before="120" w:after="120"/>
              <w:rPr>
                <w:rFonts w:cs="Arial"/>
                <w:szCs w:val="22"/>
              </w:rPr>
            </w:pPr>
            <w:r>
              <w:rPr>
                <w:rFonts w:cs="Arial"/>
                <w:szCs w:val="22"/>
              </w:rPr>
              <w:t>Medication error</w:t>
            </w:r>
          </w:p>
        </w:tc>
        <w:tc>
          <w:tcPr>
            <w:tcW w:w="6733" w:type="dxa"/>
          </w:tcPr>
          <w:p w:rsidR="00ED5AF8" w:rsidRDefault="00ED5AF8" w:rsidP="00ED5AF8">
            <w:pPr>
              <w:spacing w:before="120" w:after="120"/>
              <w:rPr>
                <w:rFonts w:cs="Arial"/>
                <w:szCs w:val="22"/>
              </w:rPr>
            </w:pPr>
            <w:r>
              <w:rPr>
                <w:rFonts w:cs="Arial"/>
                <w:szCs w:val="22"/>
              </w:rPr>
              <w:t>Any unintentional error in the process of prescribing, preparing, dispensing, administering or clinical monitoring of a medicine or vaccine while under the control of a healthcare professional, patient or consumer.</w:t>
            </w:r>
          </w:p>
        </w:tc>
      </w:tr>
      <w:tr w:rsidR="00C93B0E" w:rsidTr="00035167">
        <w:tc>
          <w:tcPr>
            <w:tcW w:w="1796" w:type="dxa"/>
          </w:tcPr>
          <w:p w:rsidR="00C93B0E" w:rsidRDefault="00F57751" w:rsidP="00F57751">
            <w:pPr>
              <w:spacing w:before="120" w:after="120"/>
              <w:rPr>
                <w:rFonts w:cs="Arial"/>
                <w:szCs w:val="22"/>
              </w:rPr>
            </w:pPr>
            <w:r>
              <w:rPr>
                <w:rFonts w:cs="Arial"/>
                <w:szCs w:val="22"/>
              </w:rPr>
              <w:t xml:space="preserve">Important medical </w:t>
            </w:r>
            <w:r w:rsidR="00C93B0E">
              <w:rPr>
                <w:rFonts w:cs="Arial"/>
                <w:szCs w:val="22"/>
              </w:rPr>
              <w:t>event</w:t>
            </w:r>
          </w:p>
        </w:tc>
        <w:tc>
          <w:tcPr>
            <w:tcW w:w="6733" w:type="dxa"/>
          </w:tcPr>
          <w:p w:rsidR="00C93B0E" w:rsidRDefault="00C93B0E" w:rsidP="008A482A">
            <w:pPr>
              <w:spacing w:before="120" w:after="120"/>
              <w:rPr>
                <w:rFonts w:cs="Arial"/>
                <w:szCs w:val="22"/>
              </w:rPr>
            </w:pPr>
            <w:r>
              <w:rPr>
                <w:rFonts w:cs="Arial"/>
                <w:szCs w:val="22"/>
              </w:rPr>
              <w:t>A</w:t>
            </w:r>
            <w:r w:rsidR="008A482A">
              <w:rPr>
                <w:rFonts w:cs="Arial"/>
                <w:szCs w:val="22"/>
              </w:rPr>
              <w:t>n</w:t>
            </w:r>
            <w:r>
              <w:rPr>
                <w:rFonts w:cs="Arial"/>
                <w:szCs w:val="22"/>
              </w:rPr>
              <w:t xml:space="preserve"> </w:t>
            </w:r>
            <w:r w:rsidRPr="008A482A">
              <w:rPr>
                <w:rFonts w:cs="Arial"/>
                <w:b/>
                <w:szCs w:val="22"/>
              </w:rPr>
              <w:t xml:space="preserve">important </w:t>
            </w:r>
            <w:r w:rsidR="008A482A" w:rsidRPr="008A482A">
              <w:rPr>
                <w:rFonts w:cs="Arial"/>
                <w:b/>
                <w:szCs w:val="22"/>
              </w:rPr>
              <w:t xml:space="preserve">medical </w:t>
            </w:r>
            <w:r w:rsidRPr="008A482A">
              <w:rPr>
                <w:rFonts w:cs="Arial"/>
                <w:b/>
                <w:szCs w:val="22"/>
              </w:rPr>
              <w:t>event</w:t>
            </w:r>
            <w:r>
              <w:rPr>
                <w:rFonts w:cs="Arial"/>
                <w:szCs w:val="22"/>
              </w:rPr>
              <w:t xml:space="preserve"> </w:t>
            </w:r>
            <w:r w:rsidR="008A482A">
              <w:rPr>
                <w:rFonts w:cs="Arial"/>
                <w:szCs w:val="22"/>
              </w:rPr>
              <w:t xml:space="preserve">(IME) </w:t>
            </w:r>
            <w:r>
              <w:rPr>
                <w:rFonts w:cs="Arial"/>
                <w:szCs w:val="22"/>
              </w:rPr>
              <w:t>is considered to be one where intervention of some form is required to preven</w:t>
            </w:r>
            <w:r w:rsidR="000B4493">
              <w:rPr>
                <w:rFonts w:cs="Arial"/>
                <w:szCs w:val="22"/>
              </w:rPr>
              <w:t>t</w:t>
            </w:r>
            <w:r>
              <w:rPr>
                <w:rFonts w:cs="Arial"/>
                <w:szCs w:val="22"/>
              </w:rPr>
              <w:t xml:space="preserve"> </w:t>
            </w:r>
            <w:r w:rsidR="000B4493">
              <w:rPr>
                <w:rFonts w:cs="Arial"/>
                <w:szCs w:val="22"/>
              </w:rPr>
              <w:t xml:space="preserve">a life-threatening situation or death, or leading to disability, incapacitation, hospitalisation, </w:t>
            </w:r>
            <w:r>
              <w:rPr>
                <w:rFonts w:cs="Arial"/>
                <w:szCs w:val="22"/>
              </w:rPr>
              <w:t>serious morbidity</w:t>
            </w:r>
            <w:r w:rsidR="000B4493">
              <w:rPr>
                <w:rFonts w:cs="Arial"/>
                <w:szCs w:val="22"/>
              </w:rPr>
              <w:t xml:space="preserve"> or birth defect or congenital anomaly.</w:t>
            </w:r>
            <w:r w:rsidR="008A482A">
              <w:rPr>
                <w:rFonts w:cs="Arial"/>
                <w:szCs w:val="22"/>
              </w:rPr>
              <w:t xml:space="preserve"> The term is synonymous with </w:t>
            </w:r>
            <w:r w:rsidR="008A482A" w:rsidRPr="008A482A">
              <w:rPr>
                <w:rFonts w:cs="Arial"/>
                <w:b/>
                <w:szCs w:val="22"/>
              </w:rPr>
              <w:t>medically important event</w:t>
            </w:r>
            <w:r w:rsidR="008A482A">
              <w:rPr>
                <w:rFonts w:cs="Arial"/>
                <w:szCs w:val="22"/>
              </w:rPr>
              <w:t>.</w:t>
            </w:r>
          </w:p>
        </w:tc>
      </w:tr>
      <w:tr w:rsidR="002D7289" w:rsidTr="00035167">
        <w:tc>
          <w:tcPr>
            <w:tcW w:w="1796" w:type="dxa"/>
          </w:tcPr>
          <w:p w:rsidR="002D7289" w:rsidRDefault="002D7289" w:rsidP="00F57751">
            <w:pPr>
              <w:spacing w:before="120" w:after="120"/>
              <w:rPr>
                <w:rFonts w:cs="Arial"/>
                <w:szCs w:val="22"/>
              </w:rPr>
            </w:pPr>
            <w:r>
              <w:rPr>
                <w:rFonts w:cs="Arial"/>
                <w:szCs w:val="22"/>
              </w:rPr>
              <w:t>PBRER</w:t>
            </w:r>
          </w:p>
        </w:tc>
        <w:tc>
          <w:tcPr>
            <w:tcW w:w="6733" w:type="dxa"/>
          </w:tcPr>
          <w:p w:rsidR="002D7289" w:rsidRDefault="008A482A" w:rsidP="00E31919">
            <w:pPr>
              <w:spacing w:before="120" w:after="120"/>
              <w:rPr>
                <w:rFonts w:cs="Arial"/>
                <w:szCs w:val="22"/>
              </w:rPr>
            </w:pPr>
            <w:r>
              <w:rPr>
                <w:rFonts w:cs="Arial"/>
                <w:szCs w:val="22"/>
              </w:rPr>
              <w:t>A Periodic Benefit-Risk Evaluation Report (</w:t>
            </w:r>
            <w:r w:rsidRPr="007F327A">
              <w:rPr>
                <w:rFonts w:cs="Arial"/>
                <w:b/>
                <w:szCs w:val="22"/>
              </w:rPr>
              <w:t>PBRER</w:t>
            </w:r>
            <w:r>
              <w:rPr>
                <w:rFonts w:cs="Arial"/>
                <w:szCs w:val="22"/>
              </w:rPr>
              <w:t>) is a common standard developed for periodically reviewing the risks of a medicine in light of its benefits, which emphasi</w:t>
            </w:r>
            <w:r w:rsidR="00E31919">
              <w:rPr>
                <w:rFonts w:cs="Arial"/>
                <w:szCs w:val="22"/>
              </w:rPr>
              <w:t>s</w:t>
            </w:r>
            <w:r>
              <w:rPr>
                <w:rFonts w:cs="Arial"/>
                <w:szCs w:val="22"/>
              </w:rPr>
              <w:t>es the cumulative knowledge and focus on new information.</w:t>
            </w:r>
            <w:r w:rsidR="00ED5AF8">
              <w:rPr>
                <w:rFonts w:cs="Arial"/>
                <w:szCs w:val="22"/>
              </w:rPr>
              <w:t xml:space="preserve"> Replaces the PSUR</w:t>
            </w:r>
            <w:r w:rsidR="000B3DF8">
              <w:rPr>
                <w:rFonts w:cs="Arial"/>
                <w:szCs w:val="22"/>
              </w:rPr>
              <w:t>.</w:t>
            </w:r>
          </w:p>
        </w:tc>
      </w:tr>
      <w:tr w:rsidR="00C93B0E" w:rsidTr="00035167">
        <w:tc>
          <w:tcPr>
            <w:tcW w:w="1796" w:type="dxa"/>
          </w:tcPr>
          <w:p w:rsidR="00C93B0E" w:rsidRDefault="00C93B0E" w:rsidP="00C93B0E">
            <w:pPr>
              <w:spacing w:before="120" w:after="120"/>
              <w:rPr>
                <w:rFonts w:cs="Arial"/>
                <w:szCs w:val="22"/>
              </w:rPr>
            </w:pPr>
            <w:r>
              <w:rPr>
                <w:rFonts w:cs="Arial"/>
                <w:szCs w:val="22"/>
              </w:rPr>
              <w:t>PSUR</w:t>
            </w:r>
          </w:p>
          <w:p w:rsidR="00C93B0E" w:rsidRDefault="00C93B0E" w:rsidP="003D2353">
            <w:pPr>
              <w:spacing w:before="120" w:after="120"/>
              <w:rPr>
                <w:rFonts w:cs="Arial"/>
                <w:szCs w:val="22"/>
              </w:rPr>
            </w:pPr>
          </w:p>
        </w:tc>
        <w:tc>
          <w:tcPr>
            <w:tcW w:w="6733" w:type="dxa"/>
          </w:tcPr>
          <w:p w:rsidR="00B75E1A" w:rsidRPr="00451A6F" w:rsidRDefault="00B75E1A" w:rsidP="00E31919">
            <w:pPr>
              <w:spacing w:before="120" w:after="120"/>
              <w:rPr>
                <w:rFonts w:cs="Arial"/>
                <w:szCs w:val="22"/>
              </w:rPr>
            </w:pPr>
            <w:r w:rsidRPr="00451A6F">
              <w:rPr>
                <w:rFonts w:cs="Arial"/>
                <w:szCs w:val="22"/>
              </w:rPr>
              <w:t>A Perio</w:t>
            </w:r>
            <w:r w:rsidR="00451A6F">
              <w:rPr>
                <w:rFonts w:cs="Arial"/>
                <w:szCs w:val="22"/>
              </w:rPr>
              <w:t>dic Safety Update Report (</w:t>
            </w:r>
            <w:r w:rsidR="00451A6F" w:rsidRPr="007F327A">
              <w:rPr>
                <w:rFonts w:cs="Arial"/>
                <w:b/>
                <w:szCs w:val="22"/>
              </w:rPr>
              <w:t>PSUR</w:t>
            </w:r>
            <w:r w:rsidRPr="00451A6F">
              <w:rPr>
                <w:rFonts w:cs="Arial"/>
                <w:szCs w:val="22"/>
              </w:rPr>
              <w:t xml:space="preserve">) is a </w:t>
            </w:r>
            <w:proofErr w:type="spellStart"/>
            <w:r w:rsidRPr="00451A6F">
              <w:rPr>
                <w:rFonts w:cs="Arial"/>
                <w:szCs w:val="22"/>
              </w:rPr>
              <w:t>pharmacovigilance</w:t>
            </w:r>
            <w:proofErr w:type="spellEnd"/>
            <w:r w:rsidRPr="00451A6F">
              <w:rPr>
                <w:rFonts w:cs="Arial"/>
                <w:szCs w:val="22"/>
              </w:rPr>
              <w:t xml:space="preserve"> document intended to provide a safety update resulting in an evaluation of the impact of the reports on the risk-benefit balance of a medicine. </w:t>
            </w:r>
            <w:r w:rsidR="00ED5AF8">
              <w:rPr>
                <w:rFonts w:cs="Arial"/>
                <w:szCs w:val="22"/>
              </w:rPr>
              <w:t>Replaced by the PBRER.</w:t>
            </w:r>
          </w:p>
        </w:tc>
      </w:tr>
      <w:tr w:rsidR="008E53F7" w:rsidTr="00035167">
        <w:tc>
          <w:tcPr>
            <w:tcW w:w="1796" w:type="dxa"/>
          </w:tcPr>
          <w:p w:rsidR="008E53F7" w:rsidRDefault="008E53F7" w:rsidP="008E53F7">
            <w:pPr>
              <w:spacing w:before="120" w:after="120"/>
              <w:rPr>
                <w:rFonts w:cs="Arial"/>
                <w:szCs w:val="22"/>
              </w:rPr>
            </w:pPr>
            <w:r>
              <w:rPr>
                <w:rFonts w:cs="Arial"/>
                <w:szCs w:val="22"/>
              </w:rPr>
              <w:t>Side effect</w:t>
            </w:r>
          </w:p>
        </w:tc>
        <w:tc>
          <w:tcPr>
            <w:tcW w:w="6733" w:type="dxa"/>
          </w:tcPr>
          <w:p w:rsidR="008E53F7" w:rsidRDefault="008E53F7" w:rsidP="00C93B0E">
            <w:pPr>
              <w:spacing w:before="120" w:after="120"/>
              <w:rPr>
                <w:rFonts w:cs="Arial"/>
                <w:szCs w:val="22"/>
              </w:rPr>
            </w:pPr>
            <w:r>
              <w:rPr>
                <w:rStyle w:val="tgc"/>
                <w:rFonts w:cs="Arial"/>
                <w:color w:val="222222"/>
              </w:rPr>
              <w:t xml:space="preserve">An alternative use of the term </w:t>
            </w:r>
            <w:r w:rsidR="00C93B0E">
              <w:rPr>
                <w:rStyle w:val="tgc"/>
                <w:rFonts w:cs="Arial"/>
                <w:b/>
                <w:bCs/>
                <w:color w:val="222222"/>
              </w:rPr>
              <w:t>A</w:t>
            </w:r>
            <w:r w:rsidRPr="008E53F7">
              <w:rPr>
                <w:rStyle w:val="tgc"/>
                <w:rFonts w:cs="Arial"/>
                <w:b/>
                <w:bCs/>
                <w:color w:val="222222"/>
              </w:rPr>
              <w:t>dverse effect</w:t>
            </w:r>
            <w:r>
              <w:rPr>
                <w:rStyle w:val="tgc"/>
                <w:rFonts w:cs="Arial"/>
                <w:b/>
                <w:bCs/>
                <w:color w:val="222222"/>
              </w:rPr>
              <w:t>,</w:t>
            </w:r>
            <w:r>
              <w:rPr>
                <w:rStyle w:val="tgc"/>
                <w:rFonts w:cs="Arial"/>
                <w:color w:val="222222"/>
              </w:rPr>
              <w:t xml:space="preserve"> when the effect is judged to be secondary to a main or therapeutic </w:t>
            </w:r>
            <w:r w:rsidRPr="008E53F7">
              <w:rPr>
                <w:rStyle w:val="tgc"/>
                <w:rFonts w:cs="Arial"/>
                <w:bCs/>
                <w:color w:val="222222"/>
              </w:rPr>
              <w:t>effect</w:t>
            </w:r>
            <w:r>
              <w:rPr>
                <w:rStyle w:val="tgc"/>
                <w:rFonts w:cs="Arial"/>
                <w:color w:val="222222"/>
              </w:rPr>
              <w:t>.</w:t>
            </w:r>
          </w:p>
        </w:tc>
      </w:tr>
      <w:tr w:rsidR="00C93B0E" w:rsidTr="00035167">
        <w:tc>
          <w:tcPr>
            <w:tcW w:w="1796" w:type="dxa"/>
          </w:tcPr>
          <w:p w:rsidR="00C93B0E" w:rsidRDefault="00C93B0E" w:rsidP="008E53F7">
            <w:pPr>
              <w:spacing w:before="120" w:after="120"/>
              <w:rPr>
                <w:rFonts w:cs="Arial"/>
                <w:szCs w:val="22"/>
              </w:rPr>
            </w:pPr>
            <w:r>
              <w:rPr>
                <w:rFonts w:cs="Arial"/>
                <w:szCs w:val="22"/>
              </w:rPr>
              <w:t>Signal</w:t>
            </w:r>
          </w:p>
        </w:tc>
        <w:tc>
          <w:tcPr>
            <w:tcW w:w="6733" w:type="dxa"/>
          </w:tcPr>
          <w:p w:rsidR="00C93B0E" w:rsidRDefault="00451A6F" w:rsidP="00451A6F">
            <w:pPr>
              <w:spacing w:before="120" w:after="120"/>
              <w:rPr>
                <w:rStyle w:val="tgc"/>
                <w:rFonts w:cs="Arial"/>
                <w:color w:val="222222"/>
              </w:rPr>
            </w:pPr>
            <w:r>
              <w:rPr>
                <w:rStyle w:val="tgc"/>
                <w:rFonts w:cs="Arial"/>
                <w:color w:val="222222"/>
              </w:rPr>
              <w:t xml:space="preserve">A </w:t>
            </w:r>
            <w:r w:rsidRPr="002D7289">
              <w:rPr>
                <w:rStyle w:val="tgc"/>
                <w:rFonts w:cs="Arial"/>
                <w:b/>
                <w:color w:val="222222"/>
              </w:rPr>
              <w:t>signal</w:t>
            </w:r>
            <w:r w:rsidRPr="00451A6F">
              <w:rPr>
                <w:rStyle w:val="tgc"/>
                <w:rFonts w:cs="Arial"/>
                <w:color w:val="222222"/>
              </w:rPr>
              <w:t xml:space="preserve"> is a new safety finding within safety data that requires further investigation. </w:t>
            </w:r>
          </w:p>
        </w:tc>
      </w:tr>
      <w:tr w:rsidR="00933129" w:rsidTr="00035167">
        <w:tc>
          <w:tcPr>
            <w:tcW w:w="1796" w:type="dxa"/>
          </w:tcPr>
          <w:p w:rsidR="00933129" w:rsidRDefault="00933129" w:rsidP="00C93B0E">
            <w:pPr>
              <w:spacing w:before="120" w:after="120"/>
              <w:rPr>
                <w:rFonts w:cs="Arial"/>
                <w:szCs w:val="22"/>
              </w:rPr>
            </w:pPr>
            <w:r>
              <w:rPr>
                <w:rFonts w:cs="Arial"/>
                <w:szCs w:val="22"/>
              </w:rPr>
              <w:t>Spontaneous reporting</w:t>
            </w:r>
          </w:p>
        </w:tc>
        <w:tc>
          <w:tcPr>
            <w:tcW w:w="6733" w:type="dxa"/>
          </w:tcPr>
          <w:p w:rsidR="00933129" w:rsidRDefault="00933129" w:rsidP="00451A6F">
            <w:pPr>
              <w:spacing w:before="120" w:after="120"/>
              <w:rPr>
                <w:rStyle w:val="tgc"/>
                <w:rFonts w:cs="Arial"/>
                <w:color w:val="222222"/>
              </w:rPr>
            </w:pPr>
            <w:r>
              <w:rPr>
                <w:rStyle w:val="tgc"/>
                <w:rFonts w:cs="Arial"/>
                <w:color w:val="222222"/>
              </w:rPr>
              <w:t xml:space="preserve">Spontaneous reports are reports of an adverse reaction that are voluntarily submitted by </w:t>
            </w:r>
            <w:r w:rsidRPr="00933129">
              <w:rPr>
                <w:rStyle w:val="tgc"/>
                <w:rFonts w:cs="Arial"/>
                <w:color w:val="222222"/>
              </w:rPr>
              <w:t>clinicians, pharmacists, other healthcare professionals, patients and the general public</w:t>
            </w:r>
            <w:r>
              <w:rPr>
                <w:rStyle w:val="tgc"/>
                <w:rFonts w:cs="Arial"/>
                <w:color w:val="222222"/>
              </w:rPr>
              <w:t>.</w:t>
            </w:r>
          </w:p>
        </w:tc>
      </w:tr>
      <w:tr w:rsidR="00687D8A" w:rsidTr="00035167">
        <w:tc>
          <w:tcPr>
            <w:tcW w:w="1796" w:type="dxa"/>
          </w:tcPr>
          <w:p w:rsidR="00687D8A" w:rsidRDefault="00687D8A" w:rsidP="00C93B0E">
            <w:pPr>
              <w:spacing w:before="120" w:after="120"/>
              <w:rPr>
                <w:rFonts w:cs="Arial"/>
                <w:szCs w:val="22"/>
              </w:rPr>
            </w:pPr>
            <w:r>
              <w:rPr>
                <w:rFonts w:cs="Arial"/>
                <w:szCs w:val="22"/>
              </w:rPr>
              <w:t>TGA</w:t>
            </w:r>
          </w:p>
        </w:tc>
        <w:tc>
          <w:tcPr>
            <w:tcW w:w="6733" w:type="dxa"/>
          </w:tcPr>
          <w:p w:rsidR="00687D8A" w:rsidRDefault="00687D8A" w:rsidP="007639B9">
            <w:pPr>
              <w:spacing w:before="120" w:after="120"/>
              <w:rPr>
                <w:rStyle w:val="tgc"/>
                <w:rFonts w:cs="Arial"/>
                <w:color w:val="222222"/>
              </w:rPr>
            </w:pPr>
            <w:r>
              <w:rPr>
                <w:rStyle w:val="tgc"/>
                <w:rFonts w:cs="Arial"/>
                <w:color w:val="222222"/>
              </w:rPr>
              <w:t xml:space="preserve">Therapeutic Goods Administration. </w:t>
            </w:r>
            <w:r w:rsidRPr="00687D8A">
              <w:rPr>
                <w:rStyle w:val="tgc"/>
                <w:rFonts w:cs="Arial"/>
                <w:color w:val="222222"/>
              </w:rPr>
              <w:t xml:space="preserve">The TGA </w:t>
            </w:r>
            <w:r w:rsidR="007639B9">
              <w:rPr>
                <w:rStyle w:val="tgc"/>
                <w:rFonts w:cs="Arial"/>
                <w:color w:val="222222"/>
              </w:rPr>
              <w:t xml:space="preserve">is </w:t>
            </w:r>
            <w:proofErr w:type="spellStart"/>
            <w:r w:rsidR="007639B9">
              <w:rPr>
                <w:rStyle w:val="tgc"/>
                <w:rFonts w:cs="Arial"/>
                <w:color w:val="222222"/>
              </w:rPr>
              <w:t>Medsafe’s</w:t>
            </w:r>
            <w:proofErr w:type="spellEnd"/>
            <w:r w:rsidR="007639B9">
              <w:rPr>
                <w:rStyle w:val="tgc"/>
                <w:rFonts w:cs="Arial"/>
                <w:color w:val="222222"/>
              </w:rPr>
              <w:t xml:space="preserve"> counterpart in Australia. It is </w:t>
            </w:r>
            <w:r w:rsidRPr="00687D8A">
              <w:rPr>
                <w:rStyle w:val="tgc"/>
                <w:rFonts w:cs="Arial"/>
                <w:color w:val="222222"/>
              </w:rPr>
              <w:t>part of the Australian Government Department of Health, and is responsible for regulating therapeutic goods including prescription medicines, vaccines, sunscreens, vitamins and minerals, medical devices, blood and blood products.</w:t>
            </w:r>
          </w:p>
        </w:tc>
      </w:tr>
      <w:tr w:rsidR="00E31919" w:rsidTr="00035167">
        <w:tc>
          <w:tcPr>
            <w:tcW w:w="1796" w:type="dxa"/>
          </w:tcPr>
          <w:p w:rsidR="00E31919" w:rsidRDefault="00E31919" w:rsidP="00C93B0E">
            <w:pPr>
              <w:spacing w:before="120" w:after="120"/>
              <w:rPr>
                <w:rFonts w:cs="Arial"/>
                <w:szCs w:val="22"/>
              </w:rPr>
            </w:pPr>
            <w:r>
              <w:rPr>
                <w:rFonts w:cs="Arial"/>
                <w:szCs w:val="22"/>
              </w:rPr>
              <w:t>WHO</w:t>
            </w:r>
          </w:p>
        </w:tc>
        <w:tc>
          <w:tcPr>
            <w:tcW w:w="6733" w:type="dxa"/>
          </w:tcPr>
          <w:p w:rsidR="00E31919" w:rsidRDefault="00E31919" w:rsidP="007639B9">
            <w:pPr>
              <w:spacing w:before="120" w:after="120"/>
              <w:rPr>
                <w:rStyle w:val="tgc"/>
                <w:rFonts w:cs="Arial"/>
                <w:color w:val="222222"/>
              </w:rPr>
            </w:pPr>
            <w:r>
              <w:rPr>
                <w:rStyle w:val="tgc"/>
                <w:rFonts w:cs="Arial"/>
                <w:color w:val="222222"/>
              </w:rPr>
              <w:t xml:space="preserve">World Health Organization. The </w:t>
            </w:r>
            <w:r w:rsidRPr="00E31919">
              <w:rPr>
                <w:rStyle w:val="tgc"/>
                <w:rFonts w:cs="Arial"/>
                <w:color w:val="222222"/>
              </w:rPr>
              <w:t>WHO is the directing and coordinating authority for health within the United Nations system.</w:t>
            </w:r>
          </w:p>
        </w:tc>
      </w:tr>
    </w:tbl>
    <w:p w:rsidR="008E53F7" w:rsidRDefault="008E53F7" w:rsidP="009D004E">
      <w:pPr>
        <w:spacing w:before="120" w:after="120"/>
        <w:rPr>
          <w:rFonts w:cs="Arial"/>
          <w:szCs w:val="22"/>
        </w:rPr>
      </w:pPr>
    </w:p>
    <w:p w:rsidR="008E53F7" w:rsidRDefault="008E53F7" w:rsidP="009D004E">
      <w:pPr>
        <w:spacing w:before="120" w:after="120"/>
        <w:rPr>
          <w:rFonts w:cs="Arial"/>
          <w:szCs w:val="22"/>
        </w:rPr>
      </w:pPr>
    </w:p>
    <w:p w:rsidR="0054728E" w:rsidRDefault="0054728E" w:rsidP="00C93B0E">
      <w:pPr>
        <w:spacing w:before="120" w:after="120"/>
        <w:rPr>
          <w:rFonts w:cs="Arial"/>
          <w:szCs w:val="22"/>
        </w:rPr>
      </w:pPr>
    </w:p>
    <w:sectPr w:rsidR="0054728E" w:rsidSect="00F86013">
      <w:footerReference w:type="default" r:id="rId48"/>
      <w:pgSz w:w="11907" w:h="16839" w:code="9"/>
      <w:pgMar w:top="1440" w:right="113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BD" w:rsidRDefault="001167BD">
      <w:r>
        <w:separator/>
      </w:r>
    </w:p>
  </w:endnote>
  <w:endnote w:type="continuationSeparator" w:id="0">
    <w:p w:rsidR="001167BD" w:rsidRDefault="0011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60" w:rsidRDefault="00887E60" w:rsidP="003E01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7E60" w:rsidRDefault="00887E60" w:rsidP="003E01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5" w:rsidRPr="002E2D33" w:rsidRDefault="009C7E35" w:rsidP="009C7E35">
    <w:pPr>
      <w:pStyle w:val="Footer"/>
      <w:pBdr>
        <w:top w:val="single" w:sz="8" w:space="1" w:color="auto"/>
        <w:left w:val="single" w:sz="8" w:space="4" w:color="auto"/>
        <w:bottom w:val="single" w:sz="8" w:space="1" w:color="auto"/>
        <w:right w:val="single" w:sz="8" w:space="4" w:color="auto"/>
      </w:pBdr>
      <w:tabs>
        <w:tab w:val="clear" w:pos="8306"/>
        <w:tab w:val="right" w:pos="8789"/>
      </w:tabs>
      <w:rPr>
        <w:rFonts w:cs="Arial"/>
        <w:b/>
        <w:sz w:val="18"/>
        <w:szCs w:val="18"/>
      </w:rPr>
    </w:pPr>
    <w:r w:rsidRPr="002E2D33">
      <w:rPr>
        <w:rFonts w:cs="Arial"/>
        <w:sz w:val="18"/>
        <w:szCs w:val="18"/>
      </w:rPr>
      <w:t>Guideline on the Regulation of Therapeutic Products in New Zealand</w:t>
    </w:r>
    <w:r>
      <w:rPr>
        <w:rFonts w:cs="Arial"/>
        <w:sz w:val="18"/>
        <w:szCs w:val="18"/>
      </w:rPr>
      <w:t xml:space="preserve"> - Part 8 - Edition 2.0</w:t>
    </w:r>
    <w:r w:rsidRPr="002E2D33">
      <w:rPr>
        <w:rFonts w:cs="Arial"/>
        <w:sz w:val="18"/>
        <w:szCs w:val="18"/>
      </w:rPr>
      <w:tab/>
      <w:t xml:space="preserve">    </w:t>
    </w:r>
    <w:r w:rsidRPr="002E2D33">
      <w:rPr>
        <w:rFonts w:cs="Arial"/>
        <w:b/>
        <w:sz w:val="18"/>
        <w:szCs w:val="18"/>
      </w:rPr>
      <w:t xml:space="preserve">Page </w:t>
    </w:r>
    <w:r w:rsidRPr="002E2D33">
      <w:rPr>
        <w:rStyle w:val="PageNumber"/>
        <w:rFonts w:cs="Arial"/>
        <w:b/>
        <w:sz w:val="18"/>
        <w:szCs w:val="18"/>
      </w:rPr>
      <w:fldChar w:fldCharType="begin"/>
    </w:r>
    <w:r w:rsidRPr="002E2D33">
      <w:rPr>
        <w:rStyle w:val="PageNumber"/>
        <w:rFonts w:cs="Arial"/>
        <w:b/>
        <w:sz w:val="18"/>
        <w:szCs w:val="18"/>
      </w:rPr>
      <w:instrText xml:space="preserve"> PAGE </w:instrText>
    </w:r>
    <w:r w:rsidRPr="002E2D33">
      <w:rPr>
        <w:rStyle w:val="PageNumber"/>
        <w:rFonts w:cs="Arial"/>
        <w:b/>
        <w:sz w:val="18"/>
        <w:szCs w:val="18"/>
      </w:rPr>
      <w:fldChar w:fldCharType="separate"/>
    </w:r>
    <w:r w:rsidR="00D559DE">
      <w:rPr>
        <w:rStyle w:val="PageNumber"/>
        <w:rFonts w:cs="Arial"/>
        <w:b/>
        <w:noProof/>
        <w:sz w:val="18"/>
        <w:szCs w:val="18"/>
      </w:rPr>
      <w:t>4</w:t>
    </w:r>
    <w:r w:rsidRPr="002E2D33">
      <w:rPr>
        <w:rStyle w:val="PageNumber"/>
        <w:rFonts w:cs="Arial"/>
        <w:b/>
        <w:sz w:val="18"/>
        <w:szCs w:val="18"/>
      </w:rPr>
      <w:fldChar w:fldCharType="end"/>
    </w:r>
  </w:p>
  <w:p w:rsidR="00887E60" w:rsidRPr="000F6CB4" w:rsidRDefault="00887E60" w:rsidP="000F6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60" w:rsidRPr="009C7E35" w:rsidRDefault="00887E60" w:rsidP="009C7E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E60" w:rsidRPr="002E2D33" w:rsidRDefault="00887E60" w:rsidP="000F6CB4">
    <w:pPr>
      <w:pStyle w:val="Footer"/>
      <w:pBdr>
        <w:top w:val="single" w:sz="8" w:space="1" w:color="auto"/>
        <w:left w:val="single" w:sz="8" w:space="4" w:color="auto"/>
        <w:bottom w:val="single" w:sz="8" w:space="1" w:color="auto"/>
        <w:right w:val="single" w:sz="8" w:space="4" w:color="auto"/>
      </w:pBdr>
      <w:tabs>
        <w:tab w:val="clear" w:pos="8306"/>
        <w:tab w:val="right" w:pos="8789"/>
      </w:tabs>
      <w:rPr>
        <w:rFonts w:cs="Arial"/>
        <w:b/>
        <w:sz w:val="18"/>
        <w:szCs w:val="18"/>
      </w:rPr>
    </w:pPr>
    <w:r w:rsidRPr="002E2D33">
      <w:rPr>
        <w:rFonts w:cs="Arial"/>
        <w:sz w:val="18"/>
        <w:szCs w:val="18"/>
      </w:rPr>
      <w:t>Guideline on the Regulation of Therapeutic Products in New Zealand</w:t>
    </w:r>
    <w:r>
      <w:rPr>
        <w:rFonts w:cs="Arial"/>
        <w:sz w:val="18"/>
        <w:szCs w:val="18"/>
      </w:rPr>
      <w:t xml:space="preserve"> - Part 8 - Edition 2.0</w:t>
    </w:r>
    <w:r w:rsidRPr="002E2D33">
      <w:rPr>
        <w:rFonts w:cs="Arial"/>
        <w:sz w:val="18"/>
        <w:szCs w:val="18"/>
      </w:rPr>
      <w:tab/>
      <w:t xml:space="preserve">    </w:t>
    </w:r>
    <w:r w:rsidRPr="002E2D33">
      <w:rPr>
        <w:rFonts w:cs="Arial"/>
        <w:b/>
        <w:sz w:val="18"/>
        <w:szCs w:val="18"/>
      </w:rPr>
      <w:t xml:space="preserve">Page </w:t>
    </w:r>
    <w:r w:rsidRPr="002E2D33">
      <w:rPr>
        <w:rStyle w:val="PageNumber"/>
        <w:rFonts w:cs="Arial"/>
        <w:b/>
        <w:sz w:val="18"/>
        <w:szCs w:val="18"/>
      </w:rPr>
      <w:fldChar w:fldCharType="begin"/>
    </w:r>
    <w:r w:rsidRPr="002E2D33">
      <w:rPr>
        <w:rStyle w:val="PageNumber"/>
        <w:rFonts w:cs="Arial"/>
        <w:b/>
        <w:sz w:val="18"/>
        <w:szCs w:val="18"/>
      </w:rPr>
      <w:instrText xml:space="preserve"> PAGE </w:instrText>
    </w:r>
    <w:r w:rsidRPr="002E2D33">
      <w:rPr>
        <w:rStyle w:val="PageNumber"/>
        <w:rFonts w:cs="Arial"/>
        <w:b/>
        <w:sz w:val="18"/>
        <w:szCs w:val="18"/>
      </w:rPr>
      <w:fldChar w:fldCharType="separate"/>
    </w:r>
    <w:r w:rsidR="00D559DE">
      <w:rPr>
        <w:rStyle w:val="PageNumber"/>
        <w:rFonts w:cs="Arial"/>
        <w:b/>
        <w:noProof/>
        <w:sz w:val="18"/>
        <w:szCs w:val="18"/>
      </w:rPr>
      <w:t>33</w:t>
    </w:r>
    <w:r w:rsidRPr="002E2D33">
      <w:rPr>
        <w:rStyle w:val="PageNumber"/>
        <w:rFont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BD" w:rsidRDefault="001167BD">
      <w:r>
        <w:separator/>
      </w:r>
    </w:p>
  </w:footnote>
  <w:footnote w:type="continuationSeparator" w:id="0">
    <w:p w:rsidR="001167BD" w:rsidRDefault="0011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5" w:rsidRDefault="009C7E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5" w:rsidRDefault="009C7E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E35" w:rsidRDefault="009C7E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9.1pt;height:218.8pt" o:bullet="t">
        <v:imagedata r:id="rId1" o:title="Medsafe bullet"/>
      </v:shape>
    </w:pict>
  </w:numPicBullet>
  <w:abstractNum w:abstractNumId="0">
    <w:nsid w:val="FFFFFF7E"/>
    <w:multiLevelType w:val="singleLevel"/>
    <w:tmpl w:val="BDDAC756"/>
    <w:lvl w:ilvl="0">
      <w:start w:val="1"/>
      <w:numFmt w:val="decimal"/>
      <w:pStyle w:val="ListNumber3"/>
      <w:lvlText w:val="%1."/>
      <w:lvlJc w:val="left"/>
      <w:pPr>
        <w:tabs>
          <w:tab w:val="num" w:pos="926"/>
        </w:tabs>
        <w:ind w:left="926" w:hanging="360"/>
      </w:pPr>
    </w:lvl>
  </w:abstractNum>
  <w:abstractNum w:abstractNumId="1">
    <w:nsid w:val="FFFFFF7F"/>
    <w:multiLevelType w:val="singleLevel"/>
    <w:tmpl w:val="C9FEBEFA"/>
    <w:lvl w:ilvl="0">
      <w:start w:val="1"/>
      <w:numFmt w:val="decimal"/>
      <w:pStyle w:val="StyleNoHeading3Before6pt"/>
      <w:lvlText w:val="%1."/>
      <w:lvlJc w:val="left"/>
      <w:pPr>
        <w:tabs>
          <w:tab w:val="num" w:pos="643"/>
        </w:tabs>
        <w:ind w:left="643" w:hanging="360"/>
      </w:pPr>
    </w:lvl>
  </w:abstractNum>
  <w:abstractNum w:abstractNumId="2">
    <w:nsid w:val="FFFFFF88"/>
    <w:multiLevelType w:val="singleLevel"/>
    <w:tmpl w:val="AD6C9550"/>
    <w:lvl w:ilvl="0">
      <w:start w:val="1"/>
      <w:numFmt w:val="decimal"/>
      <w:pStyle w:val="ListNumber"/>
      <w:lvlText w:val="%1."/>
      <w:lvlJc w:val="left"/>
      <w:pPr>
        <w:tabs>
          <w:tab w:val="num" w:pos="360"/>
        </w:tabs>
        <w:ind w:left="360" w:hanging="360"/>
      </w:pPr>
    </w:lvl>
  </w:abstractNum>
  <w:abstractNum w:abstractNumId="3">
    <w:nsid w:val="115067AA"/>
    <w:multiLevelType w:val="hybridMultilevel"/>
    <w:tmpl w:val="5ED8E426"/>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4">
    <w:nsid w:val="4CF46725"/>
    <w:multiLevelType w:val="multilevel"/>
    <w:tmpl w:val="84CC1086"/>
    <w:styleLink w:val="111111"/>
    <w:lvl w:ilvl="0">
      <w:start w:val="1"/>
      <w:numFmt w:val="decimal"/>
      <w:lvlText w:val="%1"/>
      <w:lvlJc w:val="left"/>
      <w:pPr>
        <w:tabs>
          <w:tab w:val="num" w:pos="360"/>
        </w:tabs>
        <w:ind w:left="360" w:hanging="360"/>
      </w:pPr>
      <w:rPr>
        <w:rFonts w:hint="default"/>
        <w:b/>
        <w:i/>
        <w:u w:val="singl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4E350241"/>
    <w:multiLevelType w:val="multilevel"/>
    <w:tmpl w:val="729061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ECC57D5"/>
    <w:multiLevelType w:val="hybridMultilevel"/>
    <w:tmpl w:val="99864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20C0ABF"/>
    <w:multiLevelType w:val="hybridMultilevel"/>
    <w:tmpl w:val="9D5EBFE0"/>
    <w:lvl w:ilvl="0" w:tplc="D5A816EC">
      <w:start w:val="1"/>
      <w:numFmt w:val="bullet"/>
      <w:pStyle w:val="ListBullet"/>
      <w:lvlText w:val=""/>
      <w:lvlPicBulletId w:val="0"/>
      <w:lvlJc w:val="left"/>
      <w:pPr>
        <w:ind w:left="720" w:hanging="360"/>
      </w:pPr>
      <w:rPr>
        <w:rFonts w:ascii="Symbol" w:hAnsi="Symbol" w:hint="default"/>
        <w:color w:val="auto"/>
      </w:rPr>
    </w:lvl>
    <w:lvl w:ilvl="1" w:tplc="7F5ECF5C">
      <w:start w:val="4"/>
      <w:numFmt w:val="bullet"/>
      <w:lvlText w:val="–"/>
      <w:lvlJc w:val="left"/>
      <w:pPr>
        <w:ind w:left="1440" w:hanging="360"/>
      </w:pPr>
      <w:rPr>
        <w:rFonts w:ascii="Arial" w:eastAsia="Times New Roman" w:hAnsi="Arial" w:hint="default"/>
      </w:rPr>
    </w:lvl>
    <w:lvl w:ilvl="2" w:tplc="12906DD0">
      <w:start w:val="4"/>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4"/>
  </w:num>
  <w:num w:numId="6">
    <w:abstractNumId w:val="3"/>
  </w:num>
  <w:num w:numId="7">
    <w:abstractNumId w:val="5"/>
  </w:num>
  <w:num w:numId="8">
    <w:abstractNumId w:val="7"/>
  </w:num>
  <w:num w:numId="9">
    <w:abstractNumId w:val="7"/>
  </w:num>
  <w:num w:numId="10">
    <w:abstractNumId w:val="7"/>
  </w:num>
  <w:num w:numId="11">
    <w:abstractNumId w:val="7"/>
  </w:num>
  <w:num w:numId="12">
    <w:abstractNumId w:val="7"/>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00"/>
    <w:rsid w:val="00000702"/>
    <w:rsid w:val="00001EF2"/>
    <w:rsid w:val="00003E3D"/>
    <w:rsid w:val="00004197"/>
    <w:rsid w:val="0000483E"/>
    <w:rsid w:val="00007A34"/>
    <w:rsid w:val="00017EB1"/>
    <w:rsid w:val="0002027A"/>
    <w:rsid w:val="0002081F"/>
    <w:rsid w:val="000220A1"/>
    <w:rsid w:val="00024D1D"/>
    <w:rsid w:val="000255B4"/>
    <w:rsid w:val="00025F1D"/>
    <w:rsid w:val="00033C94"/>
    <w:rsid w:val="00035167"/>
    <w:rsid w:val="00040B27"/>
    <w:rsid w:val="000449A3"/>
    <w:rsid w:val="00045A96"/>
    <w:rsid w:val="00045DBA"/>
    <w:rsid w:val="00053205"/>
    <w:rsid w:val="0005336D"/>
    <w:rsid w:val="00061691"/>
    <w:rsid w:val="00061F74"/>
    <w:rsid w:val="00063126"/>
    <w:rsid w:val="00065098"/>
    <w:rsid w:val="00067D0E"/>
    <w:rsid w:val="000930FD"/>
    <w:rsid w:val="000942B8"/>
    <w:rsid w:val="000A106A"/>
    <w:rsid w:val="000A1FC3"/>
    <w:rsid w:val="000A4315"/>
    <w:rsid w:val="000A4530"/>
    <w:rsid w:val="000B3DF8"/>
    <w:rsid w:val="000B4493"/>
    <w:rsid w:val="000B4DAB"/>
    <w:rsid w:val="000B50D5"/>
    <w:rsid w:val="000B599A"/>
    <w:rsid w:val="000B629B"/>
    <w:rsid w:val="000B7A58"/>
    <w:rsid w:val="000C0128"/>
    <w:rsid w:val="000C409E"/>
    <w:rsid w:val="000C4F03"/>
    <w:rsid w:val="000C6B40"/>
    <w:rsid w:val="000C6C51"/>
    <w:rsid w:val="000D200B"/>
    <w:rsid w:val="000D2E54"/>
    <w:rsid w:val="000E44A4"/>
    <w:rsid w:val="000E6685"/>
    <w:rsid w:val="000F0E55"/>
    <w:rsid w:val="000F6CB4"/>
    <w:rsid w:val="00100D7E"/>
    <w:rsid w:val="00102D6A"/>
    <w:rsid w:val="00111970"/>
    <w:rsid w:val="001163D1"/>
    <w:rsid w:val="0011679A"/>
    <w:rsid w:val="001167BD"/>
    <w:rsid w:val="0012404E"/>
    <w:rsid w:val="001264BB"/>
    <w:rsid w:val="0012732F"/>
    <w:rsid w:val="00131A47"/>
    <w:rsid w:val="00136570"/>
    <w:rsid w:val="00141F97"/>
    <w:rsid w:val="00143664"/>
    <w:rsid w:val="0014640A"/>
    <w:rsid w:val="001470EE"/>
    <w:rsid w:val="00154A6B"/>
    <w:rsid w:val="0016175C"/>
    <w:rsid w:val="00161BE1"/>
    <w:rsid w:val="001620E2"/>
    <w:rsid w:val="0016273A"/>
    <w:rsid w:val="00170CF0"/>
    <w:rsid w:val="0017147F"/>
    <w:rsid w:val="00172D16"/>
    <w:rsid w:val="0017593B"/>
    <w:rsid w:val="00176B39"/>
    <w:rsid w:val="00180EAC"/>
    <w:rsid w:val="00181E32"/>
    <w:rsid w:val="00186D8B"/>
    <w:rsid w:val="00192089"/>
    <w:rsid w:val="00192F2A"/>
    <w:rsid w:val="0019378D"/>
    <w:rsid w:val="001959FC"/>
    <w:rsid w:val="00196F50"/>
    <w:rsid w:val="00197776"/>
    <w:rsid w:val="001A026C"/>
    <w:rsid w:val="001A2C32"/>
    <w:rsid w:val="001A5EAE"/>
    <w:rsid w:val="001A7B1B"/>
    <w:rsid w:val="001B0676"/>
    <w:rsid w:val="001D1E5B"/>
    <w:rsid w:val="001D67EE"/>
    <w:rsid w:val="001D7334"/>
    <w:rsid w:val="001E4BFA"/>
    <w:rsid w:val="001E6607"/>
    <w:rsid w:val="001E6B9D"/>
    <w:rsid w:val="001F2623"/>
    <w:rsid w:val="001F2EE0"/>
    <w:rsid w:val="001F6ADB"/>
    <w:rsid w:val="002003B8"/>
    <w:rsid w:val="00202CAE"/>
    <w:rsid w:val="00205066"/>
    <w:rsid w:val="00211618"/>
    <w:rsid w:val="002210F4"/>
    <w:rsid w:val="00236075"/>
    <w:rsid w:val="00236FA3"/>
    <w:rsid w:val="00243C9C"/>
    <w:rsid w:val="00252545"/>
    <w:rsid w:val="0025262F"/>
    <w:rsid w:val="002529F8"/>
    <w:rsid w:val="0025487A"/>
    <w:rsid w:val="00262FC3"/>
    <w:rsid w:val="00265294"/>
    <w:rsid w:val="0027421D"/>
    <w:rsid w:val="00274B14"/>
    <w:rsid w:val="00276134"/>
    <w:rsid w:val="0028066E"/>
    <w:rsid w:val="00295E73"/>
    <w:rsid w:val="002A1190"/>
    <w:rsid w:val="002A65D0"/>
    <w:rsid w:val="002B076A"/>
    <w:rsid w:val="002B07FB"/>
    <w:rsid w:val="002B1FDB"/>
    <w:rsid w:val="002B7585"/>
    <w:rsid w:val="002C6827"/>
    <w:rsid w:val="002C7A7D"/>
    <w:rsid w:val="002D0FAE"/>
    <w:rsid w:val="002D21F7"/>
    <w:rsid w:val="002D2771"/>
    <w:rsid w:val="002D3F9C"/>
    <w:rsid w:val="002D7289"/>
    <w:rsid w:val="002E066D"/>
    <w:rsid w:val="002E2D33"/>
    <w:rsid w:val="002E2ECF"/>
    <w:rsid w:val="002E6DF9"/>
    <w:rsid w:val="002E7232"/>
    <w:rsid w:val="002F48EA"/>
    <w:rsid w:val="002F60FD"/>
    <w:rsid w:val="00302035"/>
    <w:rsid w:val="00315A74"/>
    <w:rsid w:val="0032340F"/>
    <w:rsid w:val="00327688"/>
    <w:rsid w:val="00330167"/>
    <w:rsid w:val="00332072"/>
    <w:rsid w:val="00337859"/>
    <w:rsid w:val="0035033B"/>
    <w:rsid w:val="00352DA4"/>
    <w:rsid w:val="0035340A"/>
    <w:rsid w:val="003542A4"/>
    <w:rsid w:val="00364914"/>
    <w:rsid w:val="00366747"/>
    <w:rsid w:val="00370E6A"/>
    <w:rsid w:val="00374F6F"/>
    <w:rsid w:val="003847D1"/>
    <w:rsid w:val="00387D64"/>
    <w:rsid w:val="003918BB"/>
    <w:rsid w:val="00393A7D"/>
    <w:rsid w:val="003A48B4"/>
    <w:rsid w:val="003A55C0"/>
    <w:rsid w:val="003A6A20"/>
    <w:rsid w:val="003B03A0"/>
    <w:rsid w:val="003B3D69"/>
    <w:rsid w:val="003B5F14"/>
    <w:rsid w:val="003C07C5"/>
    <w:rsid w:val="003C0BDC"/>
    <w:rsid w:val="003C764C"/>
    <w:rsid w:val="003D1F13"/>
    <w:rsid w:val="003D2353"/>
    <w:rsid w:val="003D2E03"/>
    <w:rsid w:val="003D778E"/>
    <w:rsid w:val="003E0100"/>
    <w:rsid w:val="003E3D82"/>
    <w:rsid w:val="003E59E4"/>
    <w:rsid w:val="003F0704"/>
    <w:rsid w:val="003F45BA"/>
    <w:rsid w:val="003F4EE4"/>
    <w:rsid w:val="00400804"/>
    <w:rsid w:val="00420A05"/>
    <w:rsid w:val="0042495A"/>
    <w:rsid w:val="00424CAD"/>
    <w:rsid w:val="004259DA"/>
    <w:rsid w:val="00434B0B"/>
    <w:rsid w:val="00437BE1"/>
    <w:rsid w:val="00444135"/>
    <w:rsid w:val="00450B08"/>
    <w:rsid w:val="00451A6F"/>
    <w:rsid w:val="00452622"/>
    <w:rsid w:val="00453E87"/>
    <w:rsid w:val="00454A3A"/>
    <w:rsid w:val="00461761"/>
    <w:rsid w:val="00461F68"/>
    <w:rsid w:val="0046421E"/>
    <w:rsid w:val="00466B81"/>
    <w:rsid w:val="004715DF"/>
    <w:rsid w:val="004779C7"/>
    <w:rsid w:val="0048130D"/>
    <w:rsid w:val="00481A9A"/>
    <w:rsid w:val="00483952"/>
    <w:rsid w:val="004946D0"/>
    <w:rsid w:val="004A0566"/>
    <w:rsid w:val="004A07DE"/>
    <w:rsid w:val="004A4A74"/>
    <w:rsid w:val="004B1275"/>
    <w:rsid w:val="004B39BF"/>
    <w:rsid w:val="004C0CC6"/>
    <w:rsid w:val="004C166B"/>
    <w:rsid w:val="004C78A3"/>
    <w:rsid w:val="004D2A80"/>
    <w:rsid w:val="004D5720"/>
    <w:rsid w:val="004E14A7"/>
    <w:rsid w:val="004E2AC4"/>
    <w:rsid w:val="004F04F5"/>
    <w:rsid w:val="004F3007"/>
    <w:rsid w:val="00500E38"/>
    <w:rsid w:val="00507D48"/>
    <w:rsid w:val="00511257"/>
    <w:rsid w:val="00525466"/>
    <w:rsid w:val="005300F7"/>
    <w:rsid w:val="00531343"/>
    <w:rsid w:val="00532F7C"/>
    <w:rsid w:val="005332C4"/>
    <w:rsid w:val="005342F0"/>
    <w:rsid w:val="005366A6"/>
    <w:rsid w:val="0054728E"/>
    <w:rsid w:val="005547B1"/>
    <w:rsid w:val="00557EA4"/>
    <w:rsid w:val="005605C6"/>
    <w:rsid w:val="005621FC"/>
    <w:rsid w:val="00571FD7"/>
    <w:rsid w:val="00572835"/>
    <w:rsid w:val="0057386A"/>
    <w:rsid w:val="0057449A"/>
    <w:rsid w:val="00581D17"/>
    <w:rsid w:val="00593B0E"/>
    <w:rsid w:val="005A1DB7"/>
    <w:rsid w:val="005B387B"/>
    <w:rsid w:val="005B46C6"/>
    <w:rsid w:val="005B572B"/>
    <w:rsid w:val="005C7D91"/>
    <w:rsid w:val="005D491D"/>
    <w:rsid w:val="005E3312"/>
    <w:rsid w:val="005E4864"/>
    <w:rsid w:val="005F049C"/>
    <w:rsid w:val="005F0869"/>
    <w:rsid w:val="005F7779"/>
    <w:rsid w:val="006037C4"/>
    <w:rsid w:val="00603FB7"/>
    <w:rsid w:val="00605C1C"/>
    <w:rsid w:val="0061369D"/>
    <w:rsid w:val="0061386F"/>
    <w:rsid w:val="006230EF"/>
    <w:rsid w:val="006247EA"/>
    <w:rsid w:val="006255E9"/>
    <w:rsid w:val="00630884"/>
    <w:rsid w:val="006321FF"/>
    <w:rsid w:val="006344A4"/>
    <w:rsid w:val="0064182A"/>
    <w:rsid w:val="00650FD5"/>
    <w:rsid w:val="006553EC"/>
    <w:rsid w:val="006660B0"/>
    <w:rsid w:val="00666999"/>
    <w:rsid w:val="00667507"/>
    <w:rsid w:val="00667EFD"/>
    <w:rsid w:val="00674E54"/>
    <w:rsid w:val="00677140"/>
    <w:rsid w:val="00687D8A"/>
    <w:rsid w:val="006A1B3F"/>
    <w:rsid w:val="006B6D0A"/>
    <w:rsid w:val="006C08E8"/>
    <w:rsid w:val="006C2439"/>
    <w:rsid w:val="006C256A"/>
    <w:rsid w:val="006C6FFE"/>
    <w:rsid w:val="006D3954"/>
    <w:rsid w:val="006D74EC"/>
    <w:rsid w:val="006E1632"/>
    <w:rsid w:val="006F1D5C"/>
    <w:rsid w:val="006F4DCA"/>
    <w:rsid w:val="00713B71"/>
    <w:rsid w:val="007242BF"/>
    <w:rsid w:val="007315C3"/>
    <w:rsid w:val="00732BAC"/>
    <w:rsid w:val="007342CC"/>
    <w:rsid w:val="00734DC4"/>
    <w:rsid w:val="007376FF"/>
    <w:rsid w:val="007413FC"/>
    <w:rsid w:val="00741F9A"/>
    <w:rsid w:val="0074201A"/>
    <w:rsid w:val="0074361E"/>
    <w:rsid w:val="00744D61"/>
    <w:rsid w:val="00752580"/>
    <w:rsid w:val="00755AE8"/>
    <w:rsid w:val="007563FC"/>
    <w:rsid w:val="00761739"/>
    <w:rsid w:val="00761AB3"/>
    <w:rsid w:val="007639B9"/>
    <w:rsid w:val="00766089"/>
    <w:rsid w:val="007764F1"/>
    <w:rsid w:val="0078210A"/>
    <w:rsid w:val="007823AA"/>
    <w:rsid w:val="007862CB"/>
    <w:rsid w:val="00791385"/>
    <w:rsid w:val="00793039"/>
    <w:rsid w:val="007950DB"/>
    <w:rsid w:val="007B5344"/>
    <w:rsid w:val="007C33AE"/>
    <w:rsid w:val="007C4385"/>
    <w:rsid w:val="007C592E"/>
    <w:rsid w:val="007D61C2"/>
    <w:rsid w:val="007E2171"/>
    <w:rsid w:val="007E2A75"/>
    <w:rsid w:val="007F0424"/>
    <w:rsid w:val="007F1D33"/>
    <w:rsid w:val="007F2033"/>
    <w:rsid w:val="007F327A"/>
    <w:rsid w:val="007F4A39"/>
    <w:rsid w:val="00801A2A"/>
    <w:rsid w:val="008041E3"/>
    <w:rsid w:val="008048CB"/>
    <w:rsid w:val="00815A98"/>
    <w:rsid w:val="0081638C"/>
    <w:rsid w:val="008226C8"/>
    <w:rsid w:val="00824264"/>
    <w:rsid w:val="0082521E"/>
    <w:rsid w:val="00826D5D"/>
    <w:rsid w:val="00827886"/>
    <w:rsid w:val="0083070F"/>
    <w:rsid w:val="00831FC8"/>
    <w:rsid w:val="00833591"/>
    <w:rsid w:val="00837DEC"/>
    <w:rsid w:val="00851487"/>
    <w:rsid w:val="0085499A"/>
    <w:rsid w:val="00854DEF"/>
    <w:rsid w:val="0086293C"/>
    <w:rsid w:val="0086572A"/>
    <w:rsid w:val="00871072"/>
    <w:rsid w:val="00871CE8"/>
    <w:rsid w:val="00874F3D"/>
    <w:rsid w:val="0087763E"/>
    <w:rsid w:val="00877AE4"/>
    <w:rsid w:val="008830C6"/>
    <w:rsid w:val="00886560"/>
    <w:rsid w:val="00887E60"/>
    <w:rsid w:val="008911E4"/>
    <w:rsid w:val="008977B9"/>
    <w:rsid w:val="008A482A"/>
    <w:rsid w:val="008B0BE1"/>
    <w:rsid w:val="008B2249"/>
    <w:rsid w:val="008B6868"/>
    <w:rsid w:val="008B7FFB"/>
    <w:rsid w:val="008C3A33"/>
    <w:rsid w:val="008D3AAE"/>
    <w:rsid w:val="008E05FB"/>
    <w:rsid w:val="008E0F88"/>
    <w:rsid w:val="008E20AE"/>
    <w:rsid w:val="008E53F7"/>
    <w:rsid w:val="008F0895"/>
    <w:rsid w:val="008F0D0C"/>
    <w:rsid w:val="008F2443"/>
    <w:rsid w:val="008F600B"/>
    <w:rsid w:val="00900001"/>
    <w:rsid w:val="00901E8C"/>
    <w:rsid w:val="00912ECF"/>
    <w:rsid w:val="00914C37"/>
    <w:rsid w:val="00915DB9"/>
    <w:rsid w:val="0092154D"/>
    <w:rsid w:val="0092206D"/>
    <w:rsid w:val="00923487"/>
    <w:rsid w:val="00923E2B"/>
    <w:rsid w:val="0092620A"/>
    <w:rsid w:val="00926FBB"/>
    <w:rsid w:val="00930E0D"/>
    <w:rsid w:val="00930E51"/>
    <w:rsid w:val="009330FD"/>
    <w:rsid w:val="00933129"/>
    <w:rsid w:val="009333F1"/>
    <w:rsid w:val="00937B65"/>
    <w:rsid w:val="00941876"/>
    <w:rsid w:val="009444D2"/>
    <w:rsid w:val="009462D3"/>
    <w:rsid w:val="00952DCF"/>
    <w:rsid w:val="00962228"/>
    <w:rsid w:val="00962EC5"/>
    <w:rsid w:val="009672EC"/>
    <w:rsid w:val="00971218"/>
    <w:rsid w:val="00976562"/>
    <w:rsid w:val="009770F3"/>
    <w:rsid w:val="00977CFA"/>
    <w:rsid w:val="00980303"/>
    <w:rsid w:val="009851C6"/>
    <w:rsid w:val="00986873"/>
    <w:rsid w:val="00986B86"/>
    <w:rsid w:val="00987C25"/>
    <w:rsid w:val="0099039C"/>
    <w:rsid w:val="00994737"/>
    <w:rsid w:val="00996B95"/>
    <w:rsid w:val="009A5210"/>
    <w:rsid w:val="009B27F8"/>
    <w:rsid w:val="009C7E35"/>
    <w:rsid w:val="009D004E"/>
    <w:rsid w:val="009D5721"/>
    <w:rsid w:val="009E059F"/>
    <w:rsid w:val="009E795D"/>
    <w:rsid w:val="009F315E"/>
    <w:rsid w:val="009F42FC"/>
    <w:rsid w:val="009F6DCC"/>
    <w:rsid w:val="009F7749"/>
    <w:rsid w:val="00A05BFB"/>
    <w:rsid w:val="00A120CD"/>
    <w:rsid w:val="00A158B9"/>
    <w:rsid w:val="00A1675E"/>
    <w:rsid w:val="00A25480"/>
    <w:rsid w:val="00A25D71"/>
    <w:rsid w:val="00A40C47"/>
    <w:rsid w:val="00A42229"/>
    <w:rsid w:val="00A42E0E"/>
    <w:rsid w:val="00A43431"/>
    <w:rsid w:val="00A44599"/>
    <w:rsid w:val="00A44A57"/>
    <w:rsid w:val="00A55E09"/>
    <w:rsid w:val="00A56A9C"/>
    <w:rsid w:val="00A62E46"/>
    <w:rsid w:val="00A63D92"/>
    <w:rsid w:val="00A71D22"/>
    <w:rsid w:val="00A76A30"/>
    <w:rsid w:val="00A77C6A"/>
    <w:rsid w:val="00A80C38"/>
    <w:rsid w:val="00A81248"/>
    <w:rsid w:val="00A84F34"/>
    <w:rsid w:val="00A863DB"/>
    <w:rsid w:val="00A86E86"/>
    <w:rsid w:val="00A940B6"/>
    <w:rsid w:val="00A964A0"/>
    <w:rsid w:val="00A96ACF"/>
    <w:rsid w:val="00AA0211"/>
    <w:rsid w:val="00AA28FD"/>
    <w:rsid w:val="00AA5454"/>
    <w:rsid w:val="00AA6E7B"/>
    <w:rsid w:val="00AB1661"/>
    <w:rsid w:val="00AB1D93"/>
    <w:rsid w:val="00AB37CD"/>
    <w:rsid w:val="00AB4D88"/>
    <w:rsid w:val="00AC44EF"/>
    <w:rsid w:val="00AC5729"/>
    <w:rsid w:val="00AC6789"/>
    <w:rsid w:val="00AC7210"/>
    <w:rsid w:val="00AD4B6E"/>
    <w:rsid w:val="00AD6AD1"/>
    <w:rsid w:val="00AF0B26"/>
    <w:rsid w:val="00AF0C2F"/>
    <w:rsid w:val="00AF34D6"/>
    <w:rsid w:val="00AF36CB"/>
    <w:rsid w:val="00AF6D62"/>
    <w:rsid w:val="00B15A77"/>
    <w:rsid w:val="00B173A9"/>
    <w:rsid w:val="00B17527"/>
    <w:rsid w:val="00B21C48"/>
    <w:rsid w:val="00B236CA"/>
    <w:rsid w:val="00B3169A"/>
    <w:rsid w:val="00B331C4"/>
    <w:rsid w:val="00B4162A"/>
    <w:rsid w:val="00B42B46"/>
    <w:rsid w:val="00B4511F"/>
    <w:rsid w:val="00B46DB4"/>
    <w:rsid w:val="00B5062D"/>
    <w:rsid w:val="00B509A2"/>
    <w:rsid w:val="00B605B1"/>
    <w:rsid w:val="00B62522"/>
    <w:rsid w:val="00B70D6D"/>
    <w:rsid w:val="00B71FB4"/>
    <w:rsid w:val="00B72CE2"/>
    <w:rsid w:val="00B7402D"/>
    <w:rsid w:val="00B75E1A"/>
    <w:rsid w:val="00B803FC"/>
    <w:rsid w:val="00B81580"/>
    <w:rsid w:val="00B81BF9"/>
    <w:rsid w:val="00B857B6"/>
    <w:rsid w:val="00B93363"/>
    <w:rsid w:val="00B93585"/>
    <w:rsid w:val="00BA1509"/>
    <w:rsid w:val="00BA453B"/>
    <w:rsid w:val="00BB00F2"/>
    <w:rsid w:val="00BB0DF2"/>
    <w:rsid w:val="00BB3A70"/>
    <w:rsid w:val="00BB7643"/>
    <w:rsid w:val="00BC5624"/>
    <w:rsid w:val="00BC72A6"/>
    <w:rsid w:val="00BC79CA"/>
    <w:rsid w:val="00BD03DF"/>
    <w:rsid w:val="00BD08A2"/>
    <w:rsid w:val="00BD215C"/>
    <w:rsid w:val="00BD75F1"/>
    <w:rsid w:val="00BE416F"/>
    <w:rsid w:val="00BF356B"/>
    <w:rsid w:val="00C01B8A"/>
    <w:rsid w:val="00C02DA8"/>
    <w:rsid w:val="00C05C4C"/>
    <w:rsid w:val="00C1539E"/>
    <w:rsid w:val="00C250C6"/>
    <w:rsid w:val="00C258C5"/>
    <w:rsid w:val="00C2667B"/>
    <w:rsid w:val="00C278B6"/>
    <w:rsid w:val="00C31EEF"/>
    <w:rsid w:val="00C32BF3"/>
    <w:rsid w:val="00C36198"/>
    <w:rsid w:val="00C428AB"/>
    <w:rsid w:val="00C45AF7"/>
    <w:rsid w:val="00C50AF5"/>
    <w:rsid w:val="00C526E3"/>
    <w:rsid w:val="00C54B93"/>
    <w:rsid w:val="00C551F0"/>
    <w:rsid w:val="00C567A8"/>
    <w:rsid w:val="00C5741D"/>
    <w:rsid w:val="00C57F27"/>
    <w:rsid w:val="00C673AE"/>
    <w:rsid w:val="00C71207"/>
    <w:rsid w:val="00C73D7D"/>
    <w:rsid w:val="00C769DC"/>
    <w:rsid w:val="00C82EDD"/>
    <w:rsid w:val="00C84B11"/>
    <w:rsid w:val="00C92AE6"/>
    <w:rsid w:val="00C93B0E"/>
    <w:rsid w:val="00CA6C01"/>
    <w:rsid w:val="00CB05C1"/>
    <w:rsid w:val="00CB09A1"/>
    <w:rsid w:val="00CB4F6D"/>
    <w:rsid w:val="00CC16F4"/>
    <w:rsid w:val="00CC64BF"/>
    <w:rsid w:val="00CD3E3A"/>
    <w:rsid w:val="00CD6519"/>
    <w:rsid w:val="00CD6EF8"/>
    <w:rsid w:val="00CE2270"/>
    <w:rsid w:val="00CE5DED"/>
    <w:rsid w:val="00CE62E2"/>
    <w:rsid w:val="00CF5581"/>
    <w:rsid w:val="00D0130E"/>
    <w:rsid w:val="00D03456"/>
    <w:rsid w:val="00D04C1A"/>
    <w:rsid w:val="00D20D58"/>
    <w:rsid w:val="00D2514C"/>
    <w:rsid w:val="00D25932"/>
    <w:rsid w:val="00D25B07"/>
    <w:rsid w:val="00D25C9B"/>
    <w:rsid w:val="00D34417"/>
    <w:rsid w:val="00D3793D"/>
    <w:rsid w:val="00D47BCC"/>
    <w:rsid w:val="00D51F65"/>
    <w:rsid w:val="00D5559B"/>
    <w:rsid w:val="00D559DE"/>
    <w:rsid w:val="00D55DC6"/>
    <w:rsid w:val="00D5714E"/>
    <w:rsid w:val="00D64FAE"/>
    <w:rsid w:val="00D70633"/>
    <w:rsid w:val="00D72F67"/>
    <w:rsid w:val="00D77FF2"/>
    <w:rsid w:val="00D818BA"/>
    <w:rsid w:val="00D84C10"/>
    <w:rsid w:val="00D86266"/>
    <w:rsid w:val="00D8718D"/>
    <w:rsid w:val="00D90839"/>
    <w:rsid w:val="00D94436"/>
    <w:rsid w:val="00D9628E"/>
    <w:rsid w:val="00DA2E61"/>
    <w:rsid w:val="00DA3AD8"/>
    <w:rsid w:val="00DB1BC2"/>
    <w:rsid w:val="00DB3895"/>
    <w:rsid w:val="00DB50E6"/>
    <w:rsid w:val="00DB6CA0"/>
    <w:rsid w:val="00DC33B3"/>
    <w:rsid w:val="00DD0F30"/>
    <w:rsid w:val="00DD2A02"/>
    <w:rsid w:val="00DD35B4"/>
    <w:rsid w:val="00DD3A8B"/>
    <w:rsid w:val="00DD46B8"/>
    <w:rsid w:val="00DD5E6A"/>
    <w:rsid w:val="00DD6516"/>
    <w:rsid w:val="00DE4C45"/>
    <w:rsid w:val="00DF385A"/>
    <w:rsid w:val="00E00BDD"/>
    <w:rsid w:val="00E03972"/>
    <w:rsid w:val="00E051BC"/>
    <w:rsid w:val="00E067E5"/>
    <w:rsid w:val="00E10E1B"/>
    <w:rsid w:val="00E12BB7"/>
    <w:rsid w:val="00E14CB2"/>
    <w:rsid w:val="00E15383"/>
    <w:rsid w:val="00E16AE2"/>
    <w:rsid w:val="00E170F9"/>
    <w:rsid w:val="00E20BE7"/>
    <w:rsid w:val="00E226D6"/>
    <w:rsid w:val="00E24689"/>
    <w:rsid w:val="00E26C45"/>
    <w:rsid w:val="00E26D3E"/>
    <w:rsid w:val="00E27337"/>
    <w:rsid w:val="00E317FA"/>
    <w:rsid w:val="00E31919"/>
    <w:rsid w:val="00E3365F"/>
    <w:rsid w:val="00E41880"/>
    <w:rsid w:val="00E43734"/>
    <w:rsid w:val="00E44009"/>
    <w:rsid w:val="00E45A63"/>
    <w:rsid w:val="00E525DD"/>
    <w:rsid w:val="00E562C9"/>
    <w:rsid w:val="00E60812"/>
    <w:rsid w:val="00E63AAD"/>
    <w:rsid w:val="00E64A62"/>
    <w:rsid w:val="00E66A95"/>
    <w:rsid w:val="00E71025"/>
    <w:rsid w:val="00E82443"/>
    <w:rsid w:val="00E8384B"/>
    <w:rsid w:val="00EB048A"/>
    <w:rsid w:val="00EB1192"/>
    <w:rsid w:val="00EB45FD"/>
    <w:rsid w:val="00EB4F6C"/>
    <w:rsid w:val="00EB5E4F"/>
    <w:rsid w:val="00EC0B7B"/>
    <w:rsid w:val="00EC545B"/>
    <w:rsid w:val="00ED47C2"/>
    <w:rsid w:val="00ED5AF8"/>
    <w:rsid w:val="00ED626C"/>
    <w:rsid w:val="00ED77FF"/>
    <w:rsid w:val="00EE0069"/>
    <w:rsid w:val="00EE7D6D"/>
    <w:rsid w:val="00EE7EEF"/>
    <w:rsid w:val="00EF0685"/>
    <w:rsid w:val="00EF349B"/>
    <w:rsid w:val="00EF5417"/>
    <w:rsid w:val="00EF7AE4"/>
    <w:rsid w:val="00F01D8D"/>
    <w:rsid w:val="00F13A59"/>
    <w:rsid w:val="00F1498E"/>
    <w:rsid w:val="00F16F83"/>
    <w:rsid w:val="00F17A19"/>
    <w:rsid w:val="00F21C82"/>
    <w:rsid w:val="00F31491"/>
    <w:rsid w:val="00F31563"/>
    <w:rsid w:val="00F32513"/>
    <w:rsid w:val="00F379D1"/>
    <w:rsid w:val="00F40A84"/>
    <w:rsid w:val="00F40ED6"/>
    <w:rsid w:val="00F42849"/>
    <w:rsid w:val="00F42997"/>
    <w:rsid w:val="00F545C9"/>
    <w:rsid w:val="00F571B3"/>
    <w:rsid w:val="00F57751"/>
    <w:rsid w:val="00F57ECD"/>
    <w:rsid w:val="00F60944"/>
    <w:rsid w:val="00F60C7D"/>
    <w:rsid w:val="00F67EE3"/>
    <w:rsid w:val="00F70CF8"/>
    <w:rsid w:val="00F70F59"/>
    <w:rsid w:val="00F8201B"/>
    <w:rsid w:val="00F832BD"/>
    <w:rsid w:val="00F86013"/>
    <w:rsid w:val="00F8779E"/>
    <w:rsid w:val="00F906EF"/>
    <w:rsid w:val="00F93371"/>
    <w:rsid w:val="00F94F92"/>
    <w:rsid w:val="00F97E9C"/>
    <w:rsid w:val="00FA18A4"/>
    <w:rsid w:val="00FA4DD5"/>
    <w:rsid w:val="00FA5B89"/>
    <w:rsid w:val="00FB369C"/>
    <w:rsid w:val="00FB3796"/>
    <w:rsid w:val="00FB7A37"/>
    <w:rsid w:val="00FC0198"/>
    <w:rsid w:val="00FC65A1"/>
    <w:rsid w:val="00FC7B49"/>
    <w:rsid w:val="00FD17F9"/>
    <w:rsid w:val="00FD344E"/>
    <w:rsid w:val="00FD64A5"/>
    <w:rsid w:val="00FD6B08"/>
    <w:rsid w:val="00FE1C94"/>
    <w:rsid w:val="00FE2721"/>
    <w:rsid w:val="00FE6037"/>
    <w:rsid w:val="00FE64FE"/>
    <w:rsid w:val="00FF0C69"/>
    <w:rsid w:val="00FF40F8"/>
    <w:rsid w:val="00FF49A5"/>
    <w:rsid w:val="00FF5B7E"/>
    <w:rsid w:val="00FF62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00"/>
    <w:rPr>
      <w:rFonts w:ascii="Arial" w:hAnsi="Arial"/>
      <w:sz w:val="22"/>
      <w:szCs w:val="24"/>
      <w:lang w:eastAsia="en-US"/>
    </w:rPr>
  </w:style>
  <w:style w:type="paragraph" w:styleId="Heading1">
    <w:name w:val="heading 1"/>
    <w:basedOn w:val="Normal"/>
    <w:next w:val="Normal"/>
    <w:link w:val="Heading1Char"/>
    <w:uiPriority w:val="9"/>
    <w:qFormat/>
    <w:rsid w:val="00674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6C256A"/>
    <w:pPr>
      <w:spacing w:before="100" w:beforeAutospacing="1" w:after="100" w:afterAutospacing="1"/>
      <w:outlineLvl w:val="4"/>
    </w:pPr>
    <w:rPr>
      <w:rFonts w:ascii="Times New Roman" w:hAnsi="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rPr>
      <w:rFonts w:ascii="Arial Mäori" w:hAnsi="Arial Mäori"/>
    </w:rPr>
  </w:style>
  <w:style w:type="paragraph" w:customStyle="1" w:styleId="Published">
    <w:name w:val="Published"/>
    <w:basedOn w:val="Normal"/>
    <w:rPr>
      <w:rFonts w:ascii="Times New Roman Mäori" w:hAnsi="Times New Roman Mäori"/>
    </w:rPr>
  </w:style>
  <w:style w:type="table" w:styleId="TableGrid">
    <w:name w:val="Table Grid"/>
    <w:basedOn w:val="TableNormal"/>
    <w:rsid w:val="003E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Footer">
    <w:name w:val="footer"/>
    <w:basedOn w:val="Normal"/>
    <w:link w:val="FooterChar"/>
    <w:uiPriority w:val="99"/>
    <w:rsid w:val="003E0100"/>
    <w:pPr>
      <w:tabs>
        <w:tab w:val="center" w:pos="4153"/>
        <w:tab w:val="right" w:pos="8306"/>
      </w:tabs>
    </w:pPr>
  </w:style>
  <w:style w:type="character" w:styleId="PageNumber">
    <w:name w:val="page number"/>
    <w:basedOn w:val="DefaultParagraphFont"/>
    <w:rsid w:val="003E0100"/>
  </w:style>
  <w:style w:type="paragraph" w:styleId="ListNumber">
    <w:name w:val="List Number"/>
    <w:basedOn w:val="Normal"/>
    <w:rsid w:val="003E0100"/>
    <w:pPr>
      <w:numPr>
        <w:numId w:val="1"/>
      </w:numPr>
    </w:pPr>
    <w:rPr>
      <w:b/>
      <w:sz w:val="28"/>
    </w:rPr>
  </w:style>
  <w:style w:type="paragraph" w:styleId="ListNumber2">
    <w:name w:val="List Number 2"/>
    <w:basedOn w:val="Normal"/>
    <w:rsid w:val="003E0100"/>
    <w:pPr>
      <w:tabs>
        <w:tab w:val="num" w:pos="643"/>
      </w:tabs>
      <w:ind w:left="643" w:hanging="360"/>
    </w:pPr>
    <w:rPr>
      <w:b/>
    </w:rPr>
  </w:style>
  <w:style w:type="paragraph" w:styleId="ListNumber3">
    <w:name w:val="List Number 3"/>
    <w:basedOn w:val="Normal"/>
    <w:link w:val="ListNumber3Char"/>
    <w:rsid w:val="003E0100"/>
    <w:pPr>
      <w:numPr>
        <w:numId w:val="3"/>
      </w:numPr>
    </w:pPr>
  </w:style>
  <w:style w:type="character" w:customStyle="1" w:styleId="ListNumber3Char">
    <w:name w:val="List Number 3 Char"/>
    <w:link w:val="ListNumber3"/>
    <w:rsid w:val="003E0100"/>
    <w:rPr>
      <w:rFonts w:ascii="Arial" w:hAnsi="Arial"/>
      <w:sz w:val="22"/>
      <w:szCs w:val="24"/>
      <w:lang w:eastAsia="en-US"/>
    </w:rPr>
  </w:style>
  <w:style w:type="paragraph" w:styleId="Header">
    <w:name w:val="header"/>
    <w:basedOn w:val="Normal"/>
    <w:link w:val="HeaderChar"/>
    <w:rsid w:val="003E0100"/>
    <w:pPr>
      <w:tabs>
        <w:tab w:val="center" w:pos="4153"/>
        <w:tab w:val="right" w:pos="8306"/>
      </w:tabs>
    </w:pPr>
  </w:style>
  <w:style w:type="character" w:customStyle="1" w:styleId="NormalBoldTeal">
    <w:name w:val="Normal Bold Teal"/>
    <w:rsid w:val="00DD2A02"/>
    <w:rPr>
      <w:rFonts w:ascii="Arial" w:hAnsi="Arial"/>
      <w:b/>
      <w:bCs/>
      <w:color w:val="008080"/>
      <w:sz w:val="22"/>
    </w:rPr>
  </w:style>
  <w:style w:type="paragraph" w:customStyle="1" w:styleId="NoHeading1">
    <w:name w:val="No. Heading 1"/>
    <w:basedOn w:val="Normal"/>
    <w:next w:val="Normal"/>
    <w:rsid w:val="00DD2A02"/>
    <w:pPr>
      <w:pBdr>
        <w:bottom w:val="single" w:sz="18" w:space="1" w:color="660066"/>
      </w:pBdr>
      <w:tabs>
        <w:tab w:val="left" w:pos="2268"/>
      </w:tabs>
      <w:spacing w:after="360"/>
      <w:outlineLvl w:val="0"/>
    </w:pPr>
    <w:rPr>
      <w:rFonts w:cs="Arial"/>
      <w:b/>
      <w:color w:val="008080"/>
      <w:sz w:val="36"/>
      <w:szCs w:val="19"/>
    </w:rPr>
  </w:style>
  <w:style w:type="paragraph" w:customStyle="1" w:styleId="NoHeading2">
    <w:name w:val="No. Heading 2"/>
    <w:basedOn w:val="NoHeading1"/>
    <w:next w:val="Normal"/>
    <w:link w:val="NoHeading2Char"/>
    <w:rsid w:val="00DD2A02"/>
    <w:pPr>
      <w:pBdr>
        <w:bottom w:val="none" w:sz="0" w:space="0" w:color="auto"/>
      </w:pBdr>
      <w:tabs>
        <w:tab w:val="clear" w:pos="2268"/>
        <w:tab w:val="left" w:pos="1134"/>
      </w:tabs>
      <w:spacing w:before="480" w:after="120"/>
      <w:outlineLvl w:val="1"/>
    </w:pPr>
    <w:rPr>
      <w:sz w:val="28"/>
      <w:szCs w:val="32"/>
    </w:rPr>
  </w:style>
  <w:style w:type="paragraph" w:customStyle="1" w:styleId="NoHeading3">
    <w:name w:val="No. Heading 3"/>
    <w:basedOn w:val="NoHeading1"/>
    <w:next w:val="Normal"/>
    <w:rsid w:val="00DD2A02"/>
    <w:pPr>
      <w:keepNext/>
      <w:numPr>
        <w:ilvl w:val="4"/>
      </w:numPr>
      <w:pBdr>
        <w:bottom w:val="none" w:sz="0" w:space="0" w:color="auto"/>
      </w:pBdr>
      <w:tabs>
        <w:tab w:val="clear" w:pos="2268"/>
        <w:tab w:val="left" w:pos="1134"/>
      </w:tabs>
      <w:spacing w:before="480" w:after="120"/>
      <w:outlineLvl w:val="1"/>
    </w:pPr>
    <w:rPr>
      <w:sz w:val="24"/>
      <w:szCs w:val="32"/>
    </w:rPr>
  </w:style>
  <w:style w:type="character" w:styleId="Hyperlink">
    <w:name w:val="Hyperlink"/>
    <w:uiPriority w:val="99"/>
    <w:rsid w:val="00DD2A02"/>
    <w:rPr>
      <w:rFonts w:ascii="Arial" w:hAnsi="Arial"/>
      <w:color w:val="008080"/>
      <w:sz w:val="21"/>
      <w:u w:val="single"/>
    </w:rPr>
  </w:style>
  <w:style w:type="character" w:customStyle="1" w:styleId="SummaryText">
    <w:name w:val="Summary Text"/>
    <w:rsid w:val="00DD2A02"/>
    <w:rPr>
      <w:rFonts w:ascii="Arial" w:hAnsi="Arial"/>
      <w:i/>
      <w:iCs/>
      <w:sz w:val="20"/>
    </w:rPr>
  </w:style>
  <w:style w:type="paragraph" w:styleId="ListBullet">
    <w:name w:val="List Bullet"/>
    <w:basedOn w:val="Normal"/>
    <w:link w:val="ListBulletChar"/>
    <w:rsid w:val="00E10E1B"/>
    <w:pPr>
      <w:numPr>
        <w:numId w:val="4"/>
      </w:numPr>
      <w:tabs>
        <w:tab w:val="left" w:pos="426"/>
      </w:tabs>
      <w:spacing w:before="180" w:after="180" w:line="260" w:lineRule="exact"/>
    </w:pPr>
    <w:rPr>
      <w:sz w:val="21"/>
    </w:rPr>
  </w:style>
  <w:style w:type="character" w:customStyle="1" w:styleId="ListBulletChar">
    <w:name w:val="List Bullet Char"/>
    <w:link w:val="ListBullet"/>
    <w:rsid w:val="00E10E1B"/>
    <w:rPr>
      <w:rFonts w:ascii="Arial" w:hAnsi="Arial"/>
      <w:sz w:val="21"/>
      <w:szCs w:val="24"/>
      <w:lang w:eastAsia="en-US"/>
    </w:rPr>
  </w:style>
  <w:style w:type="paragraph" w:styleId="BalloonText">
    <w:name w:val="Balloon Text"/>
    <w:basedOn w:val="Normal"/>
    <w:semiHidden/>
    <w:rsid w:val="00E10E1B"/>
    <w:rPr>
      <w:rFonts w:ascii="Tahoma" w:hAnsi="Tahoma" w:cs="Tahoma"/>
      <w:sz w:val="16"/>
      <w:szCs w:val="16"/>
    </w:rPr>
  </w:style>
  <w:style w:type="character" w:styleId="FollowedHyperlink">
    <w:name w:val="FollowedHyperlink"/>
    <w:rsid w:val="005B572B"/>
    <w:rPr>
      <w:color w:val="800080"/>
      <w:u w:val="single"/>
    </w:rPr>
  </w:style>
  <w:style w:type="paragraph" w:customStyle="1" w:styleId="HeadingLevel2">
    <w:name w:val="Heading Level 2"/>
    <w:basedOn w:val="NoHeading2"/>
    <w:rsid w:val="00D25C9B"/>
    <w:pPr>
      <w:keepNext/>
      <w:spacing w:before="120"/>
    </w:pPr>
  </w:style>
  <w:style w:type="numbering" w:styleId="111111">
    <w:name w:val="Outline List 2"/>
    <w:basedOn w:val="NoList"/>
    <w:rsid w:val="000A1FC3"/>
    <w:pPr>
      <w:numPr>
        <w:numId w:val="5"/>
      </w:numPr>
    </w:pPr>
  </w:style>
  <w:style w:type="paragraph" w:customStyle="1" w:styleId="Heading-notTOC">
    <w:name w:val="Heading - not TOC"/>
    <w:basedOn w:val="Normal"/>
    <w:qFormat/>
    <w:rsid w:val="002B1FDB"/>
    <w:pPr>
      <w:spacing w:after="360"/>
      <w:jc w:val="center"/>
    </w:pPr>
    <w:rPr>
      <w:b/>
      <w:color w:val="008080"/>
      <w:sz w:val="36"/>
    </w:rPr>
  </w:style>
  <w:style w:type="paragraph" w:customStyle="1" w:styleId="Default">
    <w:name w:val="Default"/>
    <w:rsid w:val="00BE416F"/>
    <w:pPr>
      <w:autoSpaceDE w:val="0"/>
      <w:autoSpaceDN w:val="0"/>
      <w:adjustRightInd w:val="0"/>
    </w:pPr>
    <w:rPr>
      <w:color w:val="000000"/>
      <w:sz w:val="24"/>
      <w:szCs w:val="24"/>
      <w:lang w:val="en-US" w:eastAsia="en-US"/>
    </w:rPr>
  </w:style>
  <w:style w:type="paragraph" w:customStyle="1" w:styleId="StyleNoHeading2Before6pt">
    <w:name w:val="Style No. Heading 2 + Before:  6 pt"/>
    <w:basedOn w:val="NoHeading2"/>
    <w:autoRedefine/>
    <w:rsid w:val="00BE416F"/>
    <w:pPr>
      <w:tabs>
        <w:tab w:val="clear" w:pos="1134"/>
      </w:tabs>
      <w:spacing w:before="120"/>
      <w:jc w:val="both"/>
    </w:pPr>
    <w:rPr>
      <w:b w:val="0"/>
      <w:bCs/>
      <w:color w:val="auto"/>
      <w:sz w:val="24"/>
      <w:szCs w:val="24"/>
    </w:rPr>
  </w:style>
  <w:style w:type="paragraph" w:customStyle="1" w:styleId="1">
    <w:name w:val="1"/>
    <w:basedOn w:val="Normal"/>
    <w:rsid w:val="002529F8"/>
    <w:pPr>
      <w:spacing w:after="160" w:line="240" w:lineRule="exact"/>
    </w:pPr>
    <w:rPr>
      <w:sz w:val="20"/>
      <w:szCs w:val="20"/>
      <w:lang w:val="en-US"/>
    </w:rPr>
  </w:style>
  <w:style w:type="paragraph" w:customStyle="1" w:styleId="StyleNoHeading3Before6pt">
    <w:name w:val="Style No. Heading 3 + Before:  6 pt"/>
    <w:basedOn w:val="NoHeading3"/>
    <w:rsid w:val="000C4F03"/>
    <w:pPr>
      <w:numPr>
        <w:ilvl w:val="2"/>
        <w:numId w:val="2"/>
      </w:numPr>
      <w:spacing w:before="120"/>
    </w:pPr>
    <w:rPr>
      <w:rFonts w:ascii="Arial Bold" w:hAnsi="Arial Bold" w:cs="Times New Roman"/>
      <w:bCs/>
      <w:szCs w:val="24"/>
    </w:rPr>
  </w:style>
  <w:style w:type="character" w:customStyle="1" w:styleId="Heading5Char">
    <w:name w:val="Heading 5 Char"/>
    <w:link w:val="Heading5"/>
    <w:uiPriority w:val="9"/>
    <w:rsid w:val="006C256A"/>
    <w:rPr>
      <w:b/>
      <w:bCs/>
    </w:rPr>
  </w:style>
  <w:style w:type="character" w:customStyle="1" w:styleId="NoHeading2Char">
    <w:name w:val="No. Heading 2 Char"/>
    <w:link w:val="NoHeading2"/>
    <w:rsid w:val="00AA5454"/>
    <w:rPr>
      <w:rFonts w:ascii="Arial" w:hAnsi="Arial" w:cs="Arial"/>
      <w:b/>
      <w:color w:val="008080"/>
      <w:sz w:val="28"/>
      <w:szCs w:val="32"/>
      <w:lang w:eastAsia="en-US"/>
    </w:rPr>
  </w:style>
  <w:style w:type="paragraph" w:customStyle="1" w:styleId="CharChar1">
    <w:name w:val="Char Char1"/>
    <w:basedOn w:val="Normal"/>
    <w:rsid w:val="00AA5454"/>
    <w:pPr>
      <w:spacing w:after="160" w:line="240" w:lineRule="exact"/>
    </w:pPr>
    <w:rPr>
      <w:sz w:val="20"/>
      <w:szCs w:val="20"/>
      <w:lang w:val="en-US"/>
    </w:rPr>
  </w:style>
  <w:style w:type="paragraph" w:customStyle="1" w:styleId="CharChar">
    <w:name w:val="Char Char"/>
    <w:basedOn w:val="Normal"/>
    <w:rsid w:val="002E2D33"/>
    <w:pPr>
      <w:spacing w:after="160" w:line="240" w:lineRule="exact"/>
    </w:pPr>
    <w:rPr>
      <w:sz w:val="20"/>
      <w:szCs w:val="20"/>
      <w:lang w:val="en-US"/>
    </w:rPr>
  </w:style>
  <w:style w:type="character" w:customStyle="1" w:styleId="HeaderChar">
    <w:name w:val="Header Char"/>
    <w:basedOn w:val="DefaultParagraphFont"/>
    <w:link w:val="Header"/>
    <w:rsid w:val="00A62E46"/>
    <w:rPr>
      <w:rFonts w:ascii="Arial" w:hAnsi="Arial"/>
      <w:sz w:val="22"/>
      <w:szCs w:val="24"/>
      <w:lang w:eastAsia="en-US"/>
    </w:rPr>
  </w:style>
  <w:style w:type="paragraph" w:customStyle="1" w:styleId="HeadTwo">
    <w:name w:val="Head Two"/>
    <w:basedOn w:val="Normal"/>
    <w:next w:val="Normal"/>
    <w:autoRedefine/>
    <w:rsid w:val="00A62E46"/>
    <w:pPr>
      <w:tabs>
        <w:tab w:val="left" w:pos="1134"/>
      </w:tabs>
      <w:overflowPunct w:val="0"/>
      <w:autoSpaceDE w:val="0"/>
      <w:autoSpaceDN w:val="0"/>
      <w:adjustRightInd w:val="0"/>
      <w:spacing w:before="480" w:after="180"/>
      <w:ind w:left="1134" w:hanging="1134"/>
      <w:textAlignment w:val="baseline"/>
      <w:outlineLvl w:val="1"/>
    </w:pPr>
    <w:rPr>
      <w:b/>
      <w:color w:val="000000"/>
      <w:sz w:val="28"/>
      <w:szCs w:val="20"/>
      <w:lang w:val="en-GB"/>
    </w:rPr>
  </w:style>
  <w:style w:type="character" w:styleId="CommentReference">
    <w:name w:val="annotation reference"/>
    <w:basedOn w:val="DefaultParagraphFont"/>
    <w:uiPriority w:val="99"/>
    <w:semiHidden/>
    <w:unhideWhenUsed/>
    <w:rsid w:val="00444135"/>
    <w:rPr>
      <w:sz w:val="16"/>
      <w:szCs w:val="16"/>
    </w:rPr>
  </w:style>
  <w:style w:type="paragraph" w:styleId="CommentText">
    <w:name w:val="annotation text"/>
    <w:basedOn w:val="Normal"/>
    <w:link w:val="CommentTextChar"/>
    <w:uiPriority w:val="99"/>
    <w:semiHidden/>
    <w:unhideWhenUsed/>
    <w:rsid w:val="00444135"/>
    <w:rPr>
      <w:sz w:val="20"/>
      <w:szCs w:val="20"/>
    </w:rPr>
  </w:style>
  <w:style w:type="character" w:customStyle="1" w:styleId="CommentTextChar">
    <w:name w:val="Comment Text Char"/>
    <w:basedOn w:val="DefaultParagraphFont"/>
    <w:link w:val="CommentText"/>
    <w:uiPriority w:val="99"/>
    <w:semiHidden/>
    <w:rsid w:val="004441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44135"/>
    <w:rPr>
      <w:b/>
      <w:bCs/>
    </w:rPr>
  </w:style>
  <w:style w:type="character" w:customStyle="1" w:styleId="CommentSubjectChar">
    <w:name w:val="Comment Subject Char"/>
    <w:basedOn w:val="CommentTextChar"/>
    <w:link w:val="CommentSubject"/>
    <w:uiPriority w:val="99"/>
    <w:semiHidden/>
    <w:rsid w:val="00444135"/>
    <w:rPr>
      <w:rFonts w:ascii="Arial" w:hAnsi="Arial"/>
      <w:b/>
      <w:bCs/>
      <w:lang w:eastAsia="en-US"/>
    </w:rPr>
  </w:style>
  <w:style w:type="character" w:customStyle="1" w:styleId="Heading1Char">
    <w:name w:val="Heading 1 Char"/>
    <w:basedOn w:val="DefaultParagraphFont"/>
    <w:link w:val="Heading1"/>
    <w:uiPriority w:val="9"/>
    <w:rsid w:val="00674E54"/>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05336D"/>
    <w:pPr>
      <w:spacing w:after="240"/>
    </w:pPr>
    <w:rPr>
      <w:rFonts w:ascii="Times New Roman" w:hAnsi="Times New Roman"/>
      <w:color w:val="000000"/>
      <w:sz w:val="24"/>
      <w:lang w:eastAsia="en-NZ"/>
    </w:rPr>
  </w:style>
  <w:style w:type="character" w:styleId="HTMLAcronym">
    <w:name w:val="HTML Acronym"/>
    <w:basedOn w:val="DefaultParagraphFont"/>
    <w:uiPriority w:val="99"/>
    <w:semiHidden/>
    <w:unhideWhenUsed/>
    <w:rsid w:val="00630884"/>
  </w:style>
  <w:style w:type="character" w:customStyle="1" w:styleId="style-italic">
    <w:name w:val="style-italic"/>
    <w:basedOn w:val="DefaultParagraphFont"/>
    <w:rsid w:val="00791385"/>
  </w:style>
  <w:style w:type="character" w:customStyle="1" w:styleId="tgc">
    <w:name w:val="_tgc"/>
    <w:basedOn w:val="DefaultParagraphFont"/>
    <w:rsid w:val="003F0704"/>
  </w:style>
  <w:style w:type="character" w:styleId="Emphasis">
    <w:name w:val="Emphasis"/>
    <w:basedOn w:val="DefaultParagraphFont"/>
    <w:uiPriority w:val="20"/>
    <w:qFormat/>
    <w:rsid w:val="00EC0B7B"/>
    <w:rPr>
      <w:b/>
      <w:bCs/>
      <w:i w:val="0"/>
      <w:iCs w:val="0"/>
    </w:rPr>
  </w:style>
  <w:style w:type="character" w:customStyle="1" w:styleId="st">
    <w:name w:val="st"/>
    <w:basedOn w:val="DefaultParagraphFont"/>
    <w:rsid w:val="00EC0B7B"/>
  </w:style>
  <w:style w:type="paragraph" w:styleId="ListParagraph">
    <w:name w:val="List Paragraph"/>
    <w:basedOn w:val="Normal"/>
    <w:uiPriority w:val="34"/>
    <w:qFormat/>
    <w:rsid w:val="000C6C51"/>
    <w:pPr>
      <w:ind w:left="720"/>
      <w:contextualSpacing/>
    </w:pPr>
  </w:style>
  <w:style w:type="paragraph" w:styleId="TOC2">
    <w:name w:val="toc 2"/>
    <w:basedOn w:val="Normal"/>
    <w:next w:val="Normal"/>
    <w:autoRedefine/>
    <w:uiPriority w:val="39"/>
    <w:unhideWhenUsed/>
    <w:qFormat/>
    <w:rsid w:val="00035167"/>
    <w:pPr>
      <w:tabs>
        <w:tab w:val="left" w:pos="1134"/>
        <w:tab w:val="right" w:leader="dot" w:pos="8931"/>
      </w:tabs>
      <w:spacing w:after="100" w:line="276" w:lineRule="auto"/>
      <w:ind w:left="1134" w:hanging="914"/>
    </w:pPr>
    <w:rPr>
      <w:rFonts w:ascii="Calibri" w:eastAsia="MS Mincho" w:hAnsi="Calibri" w:cs="Arial"/>
      <w:szCs w:val="22"/>
      <w:lang w:val="en-US" w:eastAsia="ja-JP"/>
    </w:rPr>
  </w:style>
  <w:style w:type="paragraph" w:styleId="TOC1">
    <w:name w:val="toc 1"/>
    <w:basedOn w:val="Normal"/>
    <w:next w:val="Normal"/>
    <w:autoRedefine/>
    <w:uiPriority w:val="39"/>
    <w:unhideWhenUsed/>
    <w:qFormat/>
    <w:rsid w:val="00035167"/>
    <w:pPr>
      <w:tabs>
        <w:tab w:val="left" w:pos="1134"/>
        <w:tab w:val="right" w:leader="dot" w:pos="8931"/>
      </w:tabs>
      <w:spacing w:after="100" w:line="276" w:lineRule="auto"/>
    </w:pPr>
    <w:rPr>
      <w:rFonts w:ascii="Calibri" w:eastAsia="MS Mincho" w:hAnsi="Calibri" w:cs="Arial"/>
      <w:szCs w:val="22"/>
      <w:lang w:val="en-US" w:eastAsia="ja-JP"/>
    </w:rPr>
  </w:style>
  <w:style w:type="character" w:customStyle="1" w:styleId="FooterChar">
    <w:name w:val="Footer Char"/>
    <w:link w:val="Footer"/>
    <w:uiPriority w:val="99"/>
    <w:rsid w:val="00035167"/>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00"/>
    <w:rPr>
      <w:rFonts w:ascii="Arial" w:hAnsi="Arial"/>
      <w:sz w:val="22"/>
      <w:szCs w:val="24"/>
      <w:lang w:eastAsia="en-US"/>
    </w:rPr>
  </w:style>
  <w:style w:type="paragraph" w:styleId="Heading1">
    <w:name w:val="heading 1"/>
    <w:basedOn w:val="Normal"/>
    <w:next w:val="Normal"/>
    <w:link w:val="Heading1Char"/>
    <w:uiPriority w:val="9"/>
    <w:qFormat/>
    <w:rsid w:val="00674E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6C256A"/>
    <w:pPr>
      <w:spacing w:before="100" w:beforeAutospacing="1" w:after="100" w:afterAutospacing="1"/>
      <w:outlineLvl w:val="4"/>
    </w:pPr>
    <w:rPr>
      <w:rFonts w:ascii="Times New Roman" w:hAnsi="Times New Roman"/>
      <w:b/>
      <w:bCs/>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rPr>
      <w:rFonts w:ascii="Arial Mäori" w:hAnsi="Arial Mäori"/>
    </w:rPr>
  </w:style>
  <w:style w:type="paragraph" w:customStyle="1" w:styleId="Published">
    <w:name w:val="Published"/>
    <w:basedOn w:val="Normal"/>
    <w:rPr>
      <w:rFonts w:ascii="Times New Roman Mäori" w:hAnsi="Times New Roman Mäori"/>
    </w:rPr>
  </w:style>
  <w:style w:type="table" w:styleId="TableGrid">
    <w:name w:val="Table Grid"/>
    <w:basedOn w:val="TableNormal"/>
    <w:rsid w:val="003E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Footer">
    <w:name w:val="footer"/>
    <w:basedOn w:val="Normal"/>
    <w:link w:val="FooterChar"/>
    <w:uiPriority w:val="99"/>
    <w:rsid w:val="003E0100"/>
    <w:pPr>
      <w:tabs>
        <w:tab w:val="center" w:pos="4153"/>
        <w:tab w:val="right" w:pos="8306"/>
      </w:tabs>
    </w:pPr>
  </w:style>
  <w:style w:type="character" w:styleId="PageNumber">
    <w:name w:val="page number"/>
    <w:basedOn w:val="DefaultParagraphFont"/>
    <w:rsid w:val="003E0100"/>
  </w:style>
  <w:style w:type="paragraph" w:styleId="ListNumber">
    <w:name w:val="List Number"/>
    <w:basedOn w:val="Normal"/>
    <w:rsid w:val="003E0100"/>
    <w:pPr>
      <w:numPr>
        <w:numId w:val="1"/>
      </w:numPr>
    </w:pPr>
    <w:rPr>
      <w:b/>
      <w:sz w:val="28"/>
    </w:rPr>
  </w:style>
  <w:style w:type="paragraph" w:styleId="ListNumber2">
    <w:name w:val="List Number 2"/>
    <w:basedOn w:val="Normal"/>
    <w:rsid w:val="003E0100"/>
    <w:pPr>
      <w:tabs>
        <w:tab w:val="num" w:pos="643"/>
      </w:tabs>
      <w:ind w:left="643" w:hanging="360"/>
    </w:pPr>
    <w:rPr>
      <w:b/>
    </w:rPr>
  </w:style>
  <w:style w:type="paragraph" w:styleId="ListNumber3">
    <w:name w:val="List Number 3"/>
    <w:basedOn w:val="Normal"/>
    <w:link w:val="ListNumber3Char"/>
    <w:rsid w:val="003E0100"/>
    <w:pPr>
      <w:numPr>
        <w:numId w:val="3"/>
      </w:numPr>
    </w:pPr>
  </w:style>
  <w:style w:type="character" w:customStyle="1" w:styleId="ListNumber3Char">
    <w:name w:val="List Number 3 Char"/>
    <w:link w:val="ListNumber3"/>
    <w:rsid w:val="003E0100"/>
    <w:rPr>
      <w:rFonts w:ascii="Arial" w:hAnsi="Arial"/>
      <w:sz w:val="22"/>
      <w:szCs w:val="24"/>
      <w:lang w:eastAsia="en-US"/>
    </w:rPr>
  </w:style>
  <w:style w:type="paragraph" w:styleId="Header">
    <w:name w:val="header"/>
    <w:basedOn w:val="Normal"/>
    <w:link w:val="HeaderChar"/>
    <w:rsid w:val="003E0100"/>
    <w:pPr>
      <w:tabs>
        <w:tab w:val="center" w:pos="4153"/>
        <w:tab w:val="right" w:pos="8306"/>
      </w:tabs>
    </w:pPr>
  </w:style>
  <w:style w:type="character" w:customStyle="1" w:styleId="NormalBoldTeal">
    <w:name w:val="Normal Bold Teal"/>
    <w:rsid w:val="00DD2A02"/>
    <w:rPr>
      <w:rFonts w:ascii="Arial" w:hAnsi="Arial"/>
      <w:b/>
      <w:bCs/>
      <w:color w:val="008080"/>
      <w:sz w:val="22"/>
    </w:rPr>
  </w:style>
  <w:style w:type="paragraph" w:customStyle="1" w:styleId="NoHeading1">
    <w:name w:val="No. Heading 1"/>
    <w:basedOn w:val="Normal"/>
    <w:next w:val="Normal"/>
    <w:rsid w:val="00DD2A02"/>
    <w:pPr>
      <w:pBdr>
        <w:bottom w:val="single" w:sz="18" w:space="1" w:color="660066"/>
      </w:pBdr>
      <w:tabs>
        <w:tab w:val="left" w:pos="2268"/>
      </w:tabs>
      <w:spacing w:after="360"/>
      <w:outlineLvl w:val="0"/>
    </w:pPr>
    <w:rPr>
      <w:rFonts w:cs="Arial"/>
      <w:b/>
      <w:color w:val="008080"/>
      <w:sz w:val="36"/>
      <w:szCs w:val="19"/>
    </w:rPr>
  </w:style>
  <w:style w:type="paragraph" w:customStyle="1" w:styleId="NoHeading2">
    <w:name w:val="No. Heading 2"/>
    <w:basedOn w:val="NoHeading1"/>
    <w:next w:val="Normal"/>
    <w:link w:val="NoHeading2Char"/>
    <w:rsid w:val="00DD2A02"/>
    <w:pPr>
      <w:pBdr>
        <w:bottom w:val="none" w:sz="0" w:space="0" w:color="auto"/>
      </w:pBdr>
      <w:tabs>
        <w:tab w:val="clear" w:pos="2268"/>
        <w:tab w:val="left" w:pos="1134"/>
      </w:tabs>
      <w:spacing w:before="480" w:after="120"/>
      <w:outlineLvl w:val="1"/>
    </w:pPr>
    <w:rPr>
      <w:sz w:val="28"/>
      <w:szCs w:val="32"/>
    </w:rPr>
  </w:style>
  <w:style w:type="paragraph" w:customStyle="1" w:styleId="NoHeading3">
    <w:name w:val="No. Heading 3"/>
    <w:basedOn w:val="NoHeading1"/>
    <w:next w:val="Normal"/>
    <w:rsid w:val="00DD2A02"/>
    <w:pPr>
      <w:keepNext/>
      <w:numPr>
        <w:ilvl w:val="4"/>
      </w:numPr>
      <w:pBdr>
        <w:bottom w:val="none" w:sz="0" w:space="0" w:color="auto"/>
      </w:pBdr>
      <w:tabs>
        <w:tab w:val="clear" w:pos="2268"/>
        <w:tab w:val="left" w:pos="1134"/>
      </w:tabs>
      <w:spacing w:before="480" w:after="120"/>
      <w:outlineLvl w:val="1"/>
    </w:pPr>
    <w:rPr>
      <w:sz w:val="24"/>
      <w:szCs w:val="32"/>
    </w:rPr>
  </w:style>
  <w:style w:type="character" w:styleId="Hyperlink">
    <w:name w:val="Hyperlink"/>
    <w:uiPriority w:val="99"/>
    <w:rsid w:val="00DD2A02"/>
    <w:rPr>
      <w:rFonts w:ascii="Arial" w:hAnsi="Arial"/>
      <w:color w:val="008080"/>
      <w:sz w:val="21"/>
      <w:u w:val="single"/>
    </w:rPr>
  </w:style>
  <w:style w:type="character" w:customStyle="1" w:styleId="SummaryText">
    <w:name w:val="Summary Text"/>
    <w:rsid w:val="00DD2A02"/>
    <w:rPr>
      <w:rFonts w:ascii="Arial" w:hAnsi="Arial"/>
      <w:i/>
      <w:iCs/>
      <w:sz w:val="20"/>
    </w:rPr>
  </w:style>
  <w:style w:type="paragraph" w:styleId="ListBullet">
    <w:name w:val="List Bullet"/>
    <w:basedOn w:val="Normal"/>
    <w:link w:val="ListBulletChar"/>
    <w:rsid w:val="00E10E1B"/>
    <w:pPr>
      <w:numPr>
        <w:numId w:val="4"/>
      </w:numPr>
      <w:tabs>
        <w:tab w:val="left" w:pos="426"/>
      </w:tabs>
      <w:spacing w:before="180" w:after="180" w:line="260" w:lineRule="exact"/>
    </w:pPr>
    <w:rPr>
      <w:sz w:val="21"/>
    </w:rPr>
  </w:style>
  <w:style w:type="character" w:customStyle="1" w:styleId="ListBulletChar">
    <w:name w:val="List Bullet Char"/>
    <w:link w:val="ListBullet"/>
    <w:rsid w:val="00E10E1B"/>
    <w:rPr>
      <w:rFonts w:ascii="Arial" w:hAnsi="Arial"/>
      <w:sz w:val="21"/>
      <w:szCs w:val="24"/>
      <w:lang w:eastAsia="en-US"/>
    </w:rPr>
  </w:style>
  <w:style w:type="paragraph" w:styleId="BalloonText">
    <w:name w:val="Balloon Text"/>
    <w:basedOn w:val="Normal"/>
    <w:semiHidden/>
    <w:rsid w:val="00E10E1B"/>
    <w:rPr>
      <w:rFonts w:ascii="Tahoma" w:hAnsi="Tahoma" w:cs="Tahoma"/>
      <w:sz w:val="16"/>
      <w:szCs w:val="16"/>
    </w:rPr>
  </w:style>
  <w:style w:type="character" w:styleId="FollowedHyperlink">
    <w:name w:val="FollowedHyperlink"/>
    <w:rsid w:val="005B572B"/>
    <w:rPr>
      <w:color w:val="800080"/>
      <w:u w:val="single"/>
    </w:rPr>
  </w:style>
  <w:style w:type="paragraph" w:customStyle="1" w:styleId="HeadingLevel2">
    <w:name w:val="Heading Level 2"/>
    <w:basedOn w:val="NoHeading2"/>
    <w:rsid w:val="00D25C9B"/>
    <w:pPr>
      <w:keepNext/>
      <w:spacing w:before="120"/>
    </w:pPr>
  </w:style>
  <w:style w:type="numbering" w:styleId="111111">
    <w:name w:val="Outline List 2"/>
    <w:basedOn w:val="NoList"/>
    <w:rsid w:val="000A1FC3"/>
    <w:pPr>
      <w:numPr>
        <w:numId w:val="5"/>
      </w:numPr>
    </w:pPr>
  </w:style>
  <w:style w:type="paragraph" w:customStyle="1" w:styleId="Heading-notTOC">
    <w:name w:val="Heading - not TOC"/>
    <w:basedOn w:val="Normal"/>
    <w:qFormat/>
    <w:rsid w:val="002B1FDB"/>
    <w:pPr>
      <w:spacing w:after="360"/>
      <w:jc w:val="center"/>
    </w:pPr>
    <w:rPr>
      <w:b/>
      <w:color w:val="008080"/>
      <w:sz w:val="36"/>
    </w:rPr>
  </w:style>
  <w:style w:type="paragraph" w:customStyle="1" w:styleId="Default">
    <w:name w:val="Default"/>
    <w:rsid w:val="00BE416F"/>
    <w:pPr>
      <w:autoSpaceDE w:val="0"/>
      <w:autoSpaceDN w:val="0"/>
      <w:adjustRightInd w:val="0"/>
    </w:pPr>
    <w:rPr>
      <w:color w:val="000000"/>
      <w:sz w:val="24"/>
      <w:szCs w:val="24"/>
      <w:lang w:val="en-US" w:eastAsia="en-US"/>
    </w:rPr>
  </w:style>
  <w:style w:type="paragraph" w:customStyle="1" w:styleId="StyleNoHeading2Before6pt">
    <w:name w:val="Style No. Heading 2 + Before:  6 pt"/>
    <w:basedOn w:val="NoHeading2"/>
    <w:autoRedefine/>
    <w:rsid w:val="00BE416F"/>
    <w:pPr>
      <w:tabs>
        <w:tab w:val="clear" w:pos="1134"/>
      </w:tabs>
      <w:spacing w:before="120"/>
      <w:jc w:val="both"/>
    </w:pPr>
    <w:rPr>
      <w:b w:val="0"/>
      <w:bCs/>
      <w:color w:val="auto"/>
      <w:sz w:val="24"/>
      <w:szCs w:val="24"/>
    </w:rPr>
  </w:style>
  <w:style w:type="paragraph" w:customStyle="1" w:styleId="1">
    <w:name w:val="1"/>
    <w:basedOn w:val="Normal"/>
    <w:rsid w:val="002529F8"/>
    <w:pPr>
      <w:spacing w:after="160" w:line="240" w:lineRule="exact"/>
    </w:pPr>
    <w:rPr>
      <w:sz w:val="20"/>
      <w:szCs w:val="20"/>
      <w:lang w:val="en-US"/>
    </w:rPr>
  </w:style>
  <w:style w:type="paragraph" w:customStyle="1" w:styleId="StyleNoHeading3Before6pt">
    <w:name w:val="Style No. Heading 3 + Before:  6 pt"/>
    <w:basedOn w:val="NoHeading3"/>
    <w:rsid w:val="000C4F03"/>
    <w:pPr>
      <w:numPr>
        <w:ilvl w:val="2"/>
        <w:numId w:val="2"/>
      </w:numPr>
      <w:spacing w:before="120"/>
    </w:pPr>
    <w:rPr>
      <w:rFonts w:ascii="Arial Bold" w:hAnsi="Arial Bold" w:cs="Times New Roman"/>
      <w:bCs/>
      <w:szCs w:val="24"/>
    </w:rPr>
  </w:style>
  <w:style w:type="character" w:customStyle="1" w:styleId="Heading5Char">
    <w:name w:val="Heading 5 Char"/>
    <w:link w:val="Heading5"/>
    <w:uiPriority w:val="9"/>
    <w:rsid w:val="006C256A"/>
    <w:rPr>
      <w:b/>
      <w:bCs/>
    </w:rPr>
  </w:style>
  <w:style w:type="character" w:customStyle="1" w:styleId="NoHeading2Char">
    <w:name w:val="No. Heading 2 Char"/>
    <w:link w:val="NoHeading2"/>
    <w:rsid w:val="00AA5454"/>
    <w:rPr>
      <w:rFonts w:ascii="Arial" w:hAnsi="Arial" w:cs="Arial"/>
      <w:b/>
      <w:color w:val="008080"/>
      <w:sz w:val="28"/>
      <w:szCs w:val="32"/>
      <w:lang w:eastAsia="en-US"/>
    </w:rPr>
  </w:style>
  <w:style w:type="paragraph" w:customStyle="1" w:styleId="CharChar1">
    <w:name w:val="Char Char1"/>
    <w:basedOn w:val="Normal"/>
    <w:rsid w:val="00AA5454"/>
    <w:pPr>
      <w:spacing w:after="160" w:line="240" w:lineRule="exact"/>
    </w:pPr>
    <w:rPr>
      <w:sz w:val="20"/>
      <w:szCs w:val="20"/>
      <w:lang w:val="en-US"/>
    </w:rPr>
  </w:style>
  <w:style w:type="paragraph" w:customStyle="1" w:styleId="CharChar">
    <w:name w:val="Char Char"/>
    <w:basedOn w:val="Normal"/>
    <w:rsid w:val="002E2D33"/>
    <w:pPr>
      <w:spacing w:after="160" w:line="240" w:lineRule="exact"/>
    </w:pPr>
    <w:rPr>
      <w:sz w:val="20"/>
      <w:szCs w:val="20"/>
      <w:lang w:val="en-US"/>
    </w:rPr>
  </w:style>
  <w:style w:type="character" w:customStyle="1" w:styleId="HeaderChar">
    <w:name w:val="Header Char"/>
    <w:basedOn w:val="DefaultParagraphFont"/>
    <w:link w:val="Header"/>
    <w:rsid w:val="00A62E46"/>
    <w:rPr>
      <w:rFonts w:ascii="Arial" w:hAnsi="Arial"/>
      <w:sz w:val="22"/>
      <w:szCs w:val="24"/>
      <w:lang w:eastAsia="en-US"/>
    </w:rPr>
  </w:style>
  <w:style w:type="paragraph" w:customStyle="1" w:styleId="HeadTwo">
    <w:name w:val="Head Two"/>
    <w:basedOn w:val="Normal"/>
    <w:next w:val="Normal"/>
    <w:autoRedefine/>
    <w:rsid w:val="00A62E46"/>
    <w:pPr>
      <w:tabs>
        <w:tab w:val="left" w:pos="1134"/>
      </w:tabs>
      <w:overflowPunct w:val="0"/>
      <w:autoSpaceDE w:val="0"/>
      <w:autoSpaceDN w:val="0"/>
      <w:adjustRightInd w:val="0"/>
      <w:spacing w:before="480" w:after="180"/>
      <w:ind w:left="1134" w:hanging="1134"/>
      <w:textAlignment w:val="baseline"/>
      <w:outlineLvl w:val="1"/>
    </w:pPr>
    <w:rPr>
      <w:b/>
      <w:color w:val="000000"/>
      <w:sz w:val="28"/>
      <w:szCs w:val="20"/>
      <w:lang w:val="en-GB"/>
    </w:rPr>
  </w:style>
  <w:style w:type="character" w:styleId="CommentReference">
    <w:name w:val="annotation reference"/>
    <w:basedOn w:val="DefaultParagraphFont"/>
    <w:uiPriority w:val="99"/>
    <w:semiHidden/>
    <w:unhideWhenUsed/>
    <w:rsid w:val="00444135"/>
    <w:rPr>
      <w:sz w:val="16"/>
      <w:szCs w:val="16"/>
    </w:rPr>
  </w:style>
  <w:style w:type="paragraph" w:styleId="CommentText">
    <w:name w:val="annotation text"/>
    <w:basedOn w:val="Normal"/>
    <w:link w:val="CommentTextChar"/>
    <w:uiPriority w:val="99"/>
    <w:semiHidden/>
    <w:unhideWhenUsed/>
    <w:rsid w:val="00444135"/>
    <w:rPr>
      <w:sz w:val="20"/>
      <w:szCs w:val="20"/>
    </w:rPr>
  </w:style>
  <w:style w:type="character" w:customStyle="1" w:styleId="CommentTextChar">
    <w:name w:val="Comment Text Char"/>
    <w:basedOn w:val="DefaultParagraphFont"/>
    <w:link w:val="CommentText"/>
    <w:uiPriority w:val="99"/>
    <w:semiHidden/>
    <w:rsid w:val="004441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44135"/>
    <w:rPr>
      <w:b/>
      <w:bCs/>
    </w:rPr>
  </w:style>
  <w:style w:type="character" w:customStyle="1" w:styleId="CommentSubjectChar">
    <w:name w:val="Comment Subject Char"/>
    <w:basedOn w:val="CommentTextChar"/>
    <w:link w:val="CommentSubject"/>
    <w:uiPriority w:val="99"/>
    <w:semiHidden/>
    <w:rsid w:val="00444135"/>
    <w:rPr>
      <w:rFonts w:ascii="Arial" w:hAnsi="Arial"/>
      <w:b/>
      <w:bCs/>
      <w:lang w:eastAsia="en-US"/>
    </w:rPr>
  </w:style>
  <w:style w:type="character" w:customStyle="1" w:styleId="Heading1Char">
    <w:name w:val="Heading 1 Char"/>
    <w:basedOn w:val="DefaultParagraphFont"/>
    <w:link w:val="Heading1"/>
    <w:uiPriority w:val="9"/>
    <w:rsid w:val="00674E54"/>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05336D"/>
    <w:pPr>
      <w:spacing w:after="240"/>
    </w:pPr>
    <w:rPr>
      <w:rFonts w:ascii="Times New Roman" w:hAnsi="Times New Roman"/>
      <w:color w:val="000000"/>
      <w:sz w:val="24"/>
      <w:lang w:eastAsia="en-NZ"/>
    </w:rPr>
  </w:style>
  <w:style w:type="character" w:styleId="HTMLAcronym">
    <w:name w:val="HTML Acronym"/>
    <w:basedOn w:val="DefaultParagraphFont"/>
    <w:uiPriority w:val="99"/>
    <w:semiHidden/>
    <w:unhideWhenUsed/>
    <w:rsid w:val="00630884"/>
  </w:style>
  <w:style w:type="character" w:customStyle="1" w:styleId="style-italic">
    <w:name w:val="style-italic"/>
    <w:basedOn w:val="DefaultParagraphFont"/>
    <w:rsid w:val="00791385"/>
  </w:style>
  <w:style w:type="character" w:customStyle="1" w:styleId="tgc">
    <w:name w:val="_tgc"/>
    <w:basedOn w:val="DefaultParagraphFont"/>
    <w:rsid w:val="003F0704"/>
  </w:style>
  <w:style w:type="character" w:styleId="Emphasis">
    <w:name w:val="Emphasis"/>
    <w:basedOn w:val="DefaultParagraphFont"/>
    <w:uiPriority w:val="20"/>
    <w:qFormat/>
    <w:rsid w:val="00EC0B7B"/>
    <w:rPr>
      <w:b/>
      <w:bCs/>
      <w:i w:val="0"/>
      <w:iCs w:val="0"/>
    </w:rPr>
  </w:style>
  <w:style w:type="character" w:customStyle="1" w:styleId="st">
    <w:name w:val="st"/>
    <w:basedOn w:val="DefaultParagraphFont"/>
    <w:rsid w:val="00EC0B7B"/>
  </w:style>
  <w:style w:type="paragraph" w:styleId="ListParagraph">
    <w:name w:val="List Paragraph"/>
    <w:basedOn w:val="Normal"/>
    <w:uiPriority w:val="34"/>
    <w:qFormat/>
    <w:rsid w:val="000C6C51"/>
    <w:pPr>
      <w:ind w:left="720"/>
      <w:contextualSpacing/>
    </w:pPr>
  </w:style>
  <w:style w:type="paragraph" w:styleId="TOC2">
    <w:name w:val="toc 2"/>
    <w:basedOn w:val="Normal"/>
    <w:next w:val="Normal"/>
    <w:autoRedefine/>
    <w:uiPriority w:val="39"/>
    <w:unhideWhenUsed/>
    <w:qFormat/>
    <w:rsid w:val="00035167"/>
    <w:pPr>
      <w:tabs>
        <w:tab w:val="left" w:pos="1134"/>
        <w:tab w:val="right" w:leader="dot" w:pos="8931"/>
      </w:tabs>
      <w:spacing w:after="100" w:line="276" w:lineRule="auto"/>
      <w:ind w:left="1134" w:hanging="914"/>
    </w:pPr>
    <w:rPr>
      <w:rFonts w:ascii="Calibri" w:eastAsia="MS Mincho" w:hAnsi="Calibri" w:cs="Arial"/>
      <w:szCs w:val="22"/>
      <w:lang w:val="en-US" w:eastAsia="ja-JP"/>
    </w:rPr>
  </w:style>
  <w:style w:type="paragraph" w:styleId="TOC1">
    <w:name w:val="toc 1"/>
    <w:basedOn w:val="Normal"/>
    <w:next w:val="Normal"/>
    <w:autoRedefine/>
    <w:uiPriority w:val="39"/>
    <w:unhideWhenUsed/>
    <w:qFormat/>
    <w:rsid w:val="00035167"/>
    <w:pPr>
      <w:tabs>
        <w:tab w:val="left" w:pos="1134"/>
        <w:tab w:val="right" w:leader="dot" w:pos="8931"/>
      </w:tabs>
      <w:spacing w:after="100" w:line="276" w:lineRule="auto"/>
    </w:pPr>
    <w:rPr>
      <w:rFonts w:ascii="Calibri" w:eastAsia="MS Mincho" w:hAnsi="Calibri" w:cs="Arial"/>
      <w:szCs w:val="22"/>
      <w:lang w:val="en-US" w:eastAsia="ja-JP"/>
    </w:rPr>
  </w:style>
  <w:style w:type="character" w:customStyle="1" w:styleId="FooterChar">
    <w:name w:val="Footer Char"/>
    <w:link w:val="Footer"/>
    <w:uiPriority w:val="99"/>
    <w:rsid w:val="0003516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9543">
      <w:bodyDiv w:val="1"/>
      <w:marLeft w:val="0"/>
      <w:marRight w:val="0"/>
      <w:marTop w:val="0"/>
      <w:marBottom w:val="0"/>
      <w:divBdr>
        <w:top w:val="none" w:sz="0" w:space="0" w:color="auto"/>
        <w:left w:val="none" w:sz="0" w:space="0" w:color="auto"/>
        <w:bottom w:val="none" w:sz="0" w:space="0" w:color="auto"/>
        <w:right w:val="none" w:sz="0" w:space="0" w:color="auto"/>
      </w:divBdr>
    </w:div>
    <w:div w:id="903300127">
      <w:bodyDiv w:val="1"/>
      <w:marLeft w:val="0"/>
      <w:marRight w:val="0"/>
      <w:marTop w:val="0"/>
      <w:marBottom w:val="0"/>
      <w:divBdr>
        <w:top w:val="none" w:sz="0" w:space="0" w:color="auto"/>
        <w:left w:val="none" w:sz="0" w:space="0" w:color="auto"/>
        <w:bottom w:val="none" w:sz="0" w:space="0" w:color="auto"/>
        <w:right w:val="none" w:sz="0" w:space="0" w:color="auto"/>
      </w:divBdr>
    </w:div>
    <w:div w:id="1067998987">
      <w:bodyDiv w:val="1"/>
      <w:marLeft w:val="0"/>
      <w:marRight w:val="0"/>
      <w:marTop w:val="0"/>
      <w:marBottom w:val="0"/>
      <w:divBdr>
        <w:top w:val="none" w:sz="0" w:space="0" w:color="auto"/>
        <w:left w:val="none" w:sz="0" w:space="0" w:color="auto"/>
        <w:bottom w:val="none" w:sz="0" w:space="0" w:color="auto"/>
        <w:right w:val="none" w:sz="0" w:space="0" w:color="auto"/>
      </w:divBdr>
    </w:div>
    <w:div w:id="1099176708">
      <w:bodyDiv w:val="1"/>
      <w:marLeft w:val="0"/>
      <w:marRight w:val="0"/>
      <w:marTop w:val="0"/>
      <w:marBottom w:val="0"/>
      <w:divBdr>
        <w:top w:val="none" w:sz="0" w:space="0" w:color="auto"/>
        <w:left w:val="none" w:sz="0" w:space="0" w:color="auto"/>
        <w:bottom w:val="none" w:sz="0" w:space="0" w:color="auto"/>
        <w:right w:val="none" w:sz="0" w:space="0" w:color="auto"/>
      </w:divBdr>
      <w:divsChild>
        <w:div w:id="879705688">
          <w:marLeft w:val="3375"/>
          <w:marRight w:val="0"/>
          <w:marTop w:val="0"/>
          <w:marBottom w:val="750"/>
          <w:divBdr>
            <w:top w:val="none" w:sz="0" w:space="0" w:color="auto"/>
            <w:left w:val="none" w:sz="0" w:space="0" w:color="auto"/>
            <w:bottom w:val="none" w:sz="0" w:space="0" w:color="auto"/>
            <w:right w:val="none" w:sz="0" w:space="0" w:color="auto"/>
          </w:divBdr>
        </w:div>
      </w:divsChild>
    </w:div>
    <w:div w:id="147568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legislation.govt.nz/act/public/1981/0118/latest/DLM53790.html?search=ts_act%40bill%40regulation%40deemedreg_medicines+act_resel_25_h&amp;p=1" TargetMode="External"/><Relationship Id="rId26" Type="http://schemas.openxmlformats.org/officeDocument/2006/relationships/hyperlink" Target="http://www.medsafe.govt.nz/profs/MARC/Minutes.asp" TargetMode="External"/><Relationship Id="rId39" Type="http://schemas.openxmlformats.org/officeDocument/2006/relationships/hyperlink" Target="http://www.medsafe.govt.nz/Projects/B1/ADRDisclaimer.asp" TargetMode="External"/><Relationship Id="rId3" Type="http://schemas.openxmlformats.org/officeDocument/2006/relationships/styles" Target="styles.xml"/><Relationship Id="rId21" Type="http://schemas.openxmlformats.org/officeDocument/2006/relationships/hyperlink" Target="http://www.legislation.govt.nz/act/public/1981/0118/latest/DLM55016.html" TargetMode="External"/><Relationship Id="rId34" Type="http://schemas.openxmlformats.org/officeDocument/2006/relationships/hyperlink" Target="https://nzphvc.otago.ac.nz/merp/report/" TargetMode="External"/><Relationship Id="rId42" Type="http://schemas.openxmlformats.org/officeDocument/2006/relationships/hyperlink" Target="mailto:Medsafeadrquery@moh.govt.nz" TargetMode="External"/><Relationship Id="rId47" Type="http://schemas.openxmlformats.org/officeDocument/2006/relationships/hyperlink" Target="http://www.cioms.ch/"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cnz.org.nz/assets/News-and-Publications/good-medical-practice.pdf" TargetMode="External"/><Relationship Id="rId33" Type="http://schemas.openxmlformats.org/officeDocument/2006/relationships/hyperlink" Target="http://www.eudravigilance.ema.europa.eu/human/textforIME.asp" TargetMode="External"/><Relationship Id="rId38" Type="http://schemas.openxmlformats.org/officeDocument/2006/relationships/hyperlink" Target="mailto:recalls@moh.govt.nz" TargetMode="External"/><Relationship Id="rId46" Type="http://schemas.openxmlformats.org/officeDocument/2006/relationships/hyperlink" Target="http://www.ema.europa.eu/docs/en_GB/document_library/Scientific_guideline/2013/01/WC500137666.pdf"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legislation.govt.nz/act/public/1981/0118/latest/DLM55450.html?search=ts_act_medicines_resel_25_h&amp;p=1" TargetMode="External"/><Relationship Id="rId29" Type="http://schemas.openxmlformats.org/officeDocument/2006/relationships/hyperlink" Target="file:///C:\Users\kooi\AppData\Local\Microsoft\Windows\Temporary%20Internet%20Files\Content.Word\www.otago.ac.nz\carm" TargetMode="External"/><Relationship Id="rId41" Type="http://schemas.openxmlformats.org/officeDocument/2006/relationships/hyperlink" Target="http://www.medsafe.govt.nz/Projects/B1/ADRDisclaimer.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pharmacycouncil.org.nz/cms_show_download.php?id=200" TargetMode="External"/><Relationship Id="rId32" Type="http://schemas.openxmlformats.org/officeDocument/2006/relationships/hyperlink" Target="http://www.medsafe.govt.nz/regulatory/Guideline/GRTPNZ/Part11.doc" TargetMode="External"/><Relationship Id="rId37" Type="http://schemas.openxmlformats.org/officeDocument/2006/relationships/hyperlink" Target="file:///C:\Users\kooi\AppData\Local\Microsoft\Windows\Temporary%20Internet%20Files\Content.Word\www.otago.ac.nz\carm" TargetMode="External"/><Relationship Id="rId40" Type="http://schemas.openxmlformats.org/officeDocument/2006/relationships/hyperlink" Target="http://www.who-umc.org/DynPage.aspx?id=97224&amp;mn1=7347&amp;mn2=7252&amp;mn3=7257" TargetMode="External"/><Relationship Id="rId45" Type="http://schemas.openxmlformats.org/officeDocument/2006/relationships/hyperlink" Target="http://www.ich.org/fileadmin/Public_Web_Site/ICH_Products/Guidelines/Efficacy/E2C/E2C_R2_Step4.pdf"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neac.health.govt.nz/moh.nsf/indexcm/neac-resources-publications-ethicalresearchguidelines" TargetMode="External"/><Relationship Id="rId28" Type="http://schemas.openxmlformats.org/officeDocument/2006/relationships/hyperlink" Target="mailto:carmnz@otago.ac.nz" TargetMode="External"/><Relationship Id="rId36" Type="http://schemas.openxmlformats.org/officeDocument/2006/relationships/hyperlink" Target="mailto:carmnz@otago.ac.nz" TargetMode="Externa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legislation.govt.nz/act/public/1981/0118/latest/DLM55444.html?search=ts_act%40bill%40regulation%40deemedreg_medicines+act_resel_25_h&amp;p=1" TargetMode="External"/><Relationship Id="rId31" Type="http://schemas.openxmlformats.org/officeDocument/2006/relationships/hyperlink" Target="http://www.ich.org/fileadmin/Public_Web_Site/ICH_Products/Guidelines/Efficacy/E2E/Step4/E2E_Guideline.pdf" TargetMode="External"/><Relationship Id="rId44" Type="http://schemas.openxmlformats.org/officeDocument/2006/relationships/hyperlink" Target="mailto:medsafeadrquery@moh.govt.nz"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yperlink" Target="http://www.medicinesnz.co.nz/assets/Edition-1513-March-2012.pdf" TargetMode="External"/><Relationship Id="rId27" Type="http://schemas.openxmlformats.org/officeDocument/2006/relationships/hyperlink" Target="http://www.medsafe.govt.nz/committees/marc.asp" TargetMode="External"/><Relationship Id="rId30" Type="http://schemas.openxmlformats.org/officeDocument/2006/relationships/hyperlink" Target="http://www.ich.org/fileadmin/Public_Web_Site/ICH_Products/Guidelines/Efficacy/E2E/Step4/E2E_Guideline.pdf" TargetMode="External"/><Relationship Id="rId35" Type="http://schemas.openxmlformats.org/officeDocument/2006/relationships/hyperlink" Target="http://www.cioms.ch/index.php/cioms-form-i" TargetMode="External"/><Relationship Id="rId43" Type="http://schemas.openxmlformats.org/officeDocument/2006/relationships/hyperlink" Target="http://www.ema.europa.eu/docs/en_GB/document_library/Scientific_guideline/2012/06/WC500129138.pdf" TargetMode="External"/><Relationship Id="rId48" Type="http://schemas.openxmlformats.org/officeDocument/2006/relationships/footer" Target="footer4.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ACD0-CF6C-4FDA-877E-A6EECCA5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63296</CharactersWithSpaces>
  <SharedDoc>false</SharedDoc>
  <HLinks>
    <vt:vector size="504" baseType="variant">
      <vt:variant>
        <vt:i4>7340106</vt:i4>
      </vt:variant>
      <vt:variant>
        <vt:i4>252</vt:i4>
      </vt:variant>
      <vt:variant>
        <vt:i4>0</vt:i4>
      </vt:variant>
      <vt:variant>
        <vt:i4>5</vt:i4>
      </vt:variant>
      <vt:variant>
        <vt:lpwstr>http://www.ethicscommittees.health.govt.nz/moh.nsf/indexcm/ethics-forms-reportingsaes?Open&amp;m_id=5.4</vt:lpwstr>
      </vt:variant>
      <vt:variant>
        <vt:lpwstr/>
      </vt:variant>
      <vt:variant>
        <vt:i4>131092</vt:i4>
      </vt:variant>
      <vt:variant>
        <vt:i4>249</vt:i4>
      </vt:variant>
      <vt:variant>
        <vt:i4>0</vt:i4>
      </vt:variant>
      <vt:variant>
        <vt:i4>5</vt:i4>
      </vt:variant>
      <vt:variant>
        <vt:lpwstr/>
      </vt:variant>
      <vt:variant>
        <vt:lpwstr>Form3</vt:lpwstr>
      </vt:variant>
      <vt:variant>
        <vt:i4>3866632</vt:i4>
      </vt:variant>
      <vt:variant>
        <vt:i4>246</vt:i4>
      </vt:variant>
      <vt:variant>
        <vt:i4>0</vt:i4>
      </vt:variant>
      <vt:variant>
        <vt:i4>5</vt:i4>
      </vt:variant>
      <vt:variant>
        <vt:lpwstr>http://www.legislation.govt.nz/act/public/1981/0118/latest/DLM55429.html?search=ts_act_medicines+act_resel&amp;p=1</vt:lpwstr>
      </vt:variant>
      <vt:variant>
        <vt:lpwstr/>
      </vt:variant>
      <vt:variant>
        <vt:i4>2687083</vt:i4>
      </vt:variant>
      <vt:variant>
        <vt:i4>243</vt:i4>
      </vt:variant>
      <vt:variant>
        <vt:i4>0</vt:i4>
      </vt:variant>
      <vt:variant>
        <vt:i4>5</vt:i4>
      </vt:variant>
      <vt:variant>
        <vt:lpwstr>https://nzphvc-01.otago.ac.nz/carm-adr/carm.php</vt:lpwstr>
      </vt:variant>
      <vt:variant>
        <vt:lpwstr/>
      </vt:variant>
      <vt:variant>
        <vt:i4>7340106</vt:i4>
      </vt:variant>
      <vt:variant>
        <vt:i4>240</vt:i4>
      </vt:variant>
      <vt:variant>
        <vt:i4>0</vt:i4>
      </vt:variant>
      <vt:variant>
        <vt:i4>5</vt:i4>
      </vt:variant>
      <vt:variant>
        <vt:lpwstr>http://www.ethicscommittees.health.govt.nz/moh.nsf/indexcm/ethics-forms-reportingsaes?Open&amp;m_id=5.4</vt:lpwstr>
      </vt:variant>
      <vt:variant>
        <vt:lpwstr/>
      </vt:variant>
      <vt:variant>
        <vt:i4>5570653</vt:i4>
      </vt:variant>
      <vt:variant>
        <vt:i4>237</vt:i4>
      </vt:variant>
      <vt:variant>
        <vt:i4>0</vt:i4>
      </vt:variant>
      <vt:variant>
        <vt:i4>5</vt:i4>
      </vt:variant>
      <vt:variant>
        <vt:lpwstr>http://www.ich.org/LOB/media/MEDIA436.pdf</vt:lpwstr>
      </vt:variant>
      <vt:variant>
        <vt:lpwstr/>
      </vt:variant>
      <vt:variant>
        <vt:i4>1310804</vt:i4>
      </vt:variant>
      <vt:variant>
        <vt:i4>234</vt:i4>
      </vt:variant>
      <vt:variant>
        <vt:i4>0</vt:i4>
      </vt:variant>
      <vt:variant>
        <vt:i4>5</vt:i4>
      </vt:variant>
      <vt:variant>
        <vt:lpwstr>http://continuum.archives.govt.nz/files/file/standards/s5/index.html</vt:lpwstr>
      </vt:variant>
      <vt:variant>
        <vt:lpwstr/>
      </vt:variant>
      <vt:variant>
        <vt:i4>1048646</vt:i4>
      </vt:variant>
      <vt:variant>
        <vt:i4>231</vt:i4>
      </vt:variant>
      <vt:variant>
        <vt:i4>0</vt:i4>
      </vt:variant>
      <vt:variant>
        <vt:i4>5</vt:i4>
      </vt:variant>
      <vt:variant>
        <vt:lpwstr>http://www.archives.govt.nz/advice/appraisal-and-disposal-information</vt:lpwstr>
      </vt:variant>
      <vt:variant>
        <vt:lpwstr/>
      </vt:variant>
      <vt:variant>
        <vt:i4>5242883</vt:i4>
      </vt:variant>
      <vt:variant>
        <vt:i4>228</vt:i4>
      </vt:variant>
      <vt:variant>
        <vt:i4>0</vt:i4>
      </vt:variant>
      <vt:variant>
        <vt:i4>5</vt:i4>
      </vt:variant>
      <vt:variant>
        <vt:lpwstr>http://www.legislation.govt.nz/act/public/2005/0040/latest/DLM345730.html</vt:lpwstr>
      </vt:variant>
      <vt:variant>
        <vt:lpwstr/>
      </vt:variant>
      <vt:variant>
        <vt:i4>4980753</vt:i4>
      </vt:variant>
      <vt:variant>
        <vt:i4>225</vt:i4>
      </vt:variant>
      <vt:variant>
        <vt:i4>0</vt:i4>
      </vt:variant>
      <vt:variant>
        <vt:i4>5</vt:i4>
      </vt:variant>
      <vt:variant>
        <vt:lpwstr>http://www.legislation.govt.nz/regulation/public/1996/0343/latest/DLM225650.html</vt:lpwstr>
      </vt:variant>
      <vt:variant>
        <vt:lpwstr/>
      </vt:variant>
      <vt:variant>
        <vt:i4>65570</vt:i4>
      </vt:variant>
      <vt:variant>
        <vt:i4>222</vt:i4>
      </vt:variant>
      <vt:variant>
        <vt:i4>0</vt:i4>
      </vt:variant>
      <vt:variant>
        <vt:i4>5</vt:i4>
      </vt:variant>
      <vt:variant>
        <vt:lpwstr>http://www.legislation.govt.nz/regulation/public/1984/0143/latest/whole.html?search=ts_regulation_Medicines_resel&amp;p=1</vt:lpwstr>
      </vt:variant>
      <vt:variant>
        <vt:lpwstr>DLM96196</vt:lpwstr>
      </vt:variant>
      <vt:variant>
        <vt:i4>6946898</vt:i4>
      </vt:variant>
      <vt:variant>
        <vt:i4>219</vt:i4>
      </vt:variant>
      <vt:variant>
        <vt:i4>0</vt:i4>
      </vt:variant>
      <vt:variant>
        <vt:i4>5</vt:i4>
      </vt:variant>
      <vt:variant>
        <vt:lpwstr>http://www.legislation.govt.nz/act/public/1981/0118/latest/DLM55470.html?search=ts_act_medicines_resel</vt:lpwstr>
      </vt:variant>
      <vt:variant>
        <vt:lpwstr/>
      </vt:variant>
      <vt:variant>
        <vt:i4>7929931</vt:i4>
      </vt:variant>
      <vt:variant>
        <vt:i4>216</vt:i4>
      </vt:variant>
      <vt:variant>
        <vt:i4>0</vt:i4>
      </vt:variant>
      <vt:variant>
        <vt:i4>5</vt:i4>
      </vt:variant>
      <vt:variant>
        <vt:lpwstr>http://www.legislation.govt.nz/act/public/1975/0116/latest/whole.html?search=ts_act_Misuse+of+Drugs_resel&amp;p=1</vt:lpwstr>
      </vt:variant>
      <vt:variant>
        <vt:lpwstr>DLM436576</vt:lpwstr>
      </vt:variant>
      <vt:variant>
        <vt:i4>6750222</vt:i4>
      </vt:variant>
      <vt:variant>
        <vt:i4>213</vt:i4>
      </vt:variant>
      <vt:variant>
        <vt:i4>0</vt:i4>
      </vt:variant>
      <vt:variant>
        <vt:i4>5</vt:i4>
      </vt:variant>
      <vt:variant>
        <vt:lpwstr>http://www.legislation.govt.nz/act/public/1981/0118/latest/DLM55034.html?search=ts_act_medicines+act_resel&amp;p=1</vt:lpwstr>
      </vt:variant>
      <vt:variant>
        <vt:lpwstr>DLM55034</vt:lpwstr>
      </vt:variant>
      <vt:variant>
        <vt:i4>3145837</vt:i4>
      </vt:variant>
      <vt:variant>
        <vt:i4>210</vt:i4>
      </vt:variant>
      <vt:variant>
        <vt:i4>0</vt:i4>
      </vt:variant>
      <vt:variant>
        <vt:i4>5</vt:i4>
      </vt:variant>
      <vt:variant>
        <vt:lpwstr>http://www.medsafe.govt.nz/regulatory/Guideline/NZRGMPart1.asp</vt:lpwstr>
      </vt:variant>
      <vt:variant>
        <vt:lpwstr/>
      </vt:variant>
      <vt:variant>
        <vt:i4>7274587</vt:i4>
      </vt:variant>
      <vt:variant>
        <vt:i4>207</vt:i4>
      </vt:variant>
      <vt:variant>
        <vt:i4>0</vt:i4>
      </vt:variant>
      <vt:variant>
        <vt:i4>5</vt:i4>
      </vt:variant>
      <vt:variant>
        <vt:lpwstr>http://www.legislation.govt.nz/act/public/1981/0118/latest/DLM55429.html?search=ts_act_medicines_resel</vt:lpwstr>
      </vt:variant>
      <vt:variant>
        <vt:lpwstr/>
      </vt:variant>
      <vt:variant>
        <vt:i4>6029313</vt:i4>
      </vt:variant>
      <vt:variant>
        <vt:i4>204</vt:i4>
      </vt:variant>
      <vt:variant>
        <vt:i4>0</vt:i4>
      </vt:variant>
      <vt:variant>
        <vt:i4>5</vt:i4>
      </vt:variant>
      <vt:variant>
        <vt:lpwstr>http://www.emea.europa.eu/pdfs/human/ich/013595en.pdf</vt:lpwstr>
      </vt:variant>
      <vt:variant>
        <vt:lpwstr/>
      </vt:variant>
      <vt:variant>
        <vt:i4>6488187</vt:i4>
      </vt:variant>
      <vt:variant>
        <vt:i4>201</vt:i4>
      </vt:variant>
      <vt:variant>
        <vt:i4>0</vt:i4>
      </vt:variant>
      <vt:variant>
        <vt:i4>5</vt:i4>
      </vt:variant>
      <vt:variant>
        <vt:lpwstr>http://www.medsafe.govt.nz/</vt:lpwstr>
      </vt:variant>
      <vt:variant>
        <vt:lpwstr/>
      </vt:variant>
      <vt:variant>
        <vt:i4>131092</vt:i4>
      </vt:variant>
      <vt:variant>
        <vt:i4>198</vt:i4>
      </vt:variant>
      <vt:variant>
        <vt:i4>0</vt:i4>
      </vt:variant>
      <vt:variant>
        <vt:i4>5</vt:i4>
      </vt:variant>
      <vt:variant>
        <vt:lpwstr/>
      </vt:variant>
      <vt:variant>
        <vt:lpwstr>Form2</vt:lpwstr>
      </vt:variant>
      <vt:variant>
        <vt:i4>7274587</vt:i4>
      </vt:variant>
      <vt:variant>
        <vt:i4>195</vt:i4>
      </vt:variant>
      <vt:variant>
        <vt:i4>0</vt:i4>
      </vt:variant>
      <vt:variant>
        <vt:i4>5</vt:i4>
      </vt:variant>
      <vt:variant>
        <vt:lpwstr>http://www.legislation.govt.nz/act/public/1981/0118/latest/DLM55429.html?search=ts_act_medicines_resel</vt:lpwstr>
      </vt:variant>
      <vt:variant>
        <vt:lpwstr/>
      </vt:variant>
      <vt:variant>
        <vt:i4>131092</vt:i4>
      </vt:variant>
      <vt:variant>
        <vt:i4>192</vt:i4>
      </vt:variant>
      <vt:variant>
        <vt:i4>0</vt:i4>
      </vt:variant>
      <vt:variant>
        <vt:i4>5</vt:i4>
      </vt:variant>
      <vt:variant>
        <vt:lpwstr/>
      </vt:variant>
      <vt:variant>
        <vt:lpwstr>Form1</vt:lpwstr>
      </vt:variant>
      <vt:variant>
        <vt:i4>3407981</vt:i4>
      </vt:variant>
      <vt:variant>
        <vt:i4>189</vt:i4>
      </vt:variant>
      <vt:variant>
        <vt:i4>0</vt:i4>
      </vt:variant>
      <vt:variant>
        <vt:i4>5</vt:i4>
      </vt:variant>
      <vt:variant>
        <vt:lpwstr>http://www.medsafe.govt.nz/regulatory/fees.asp</vt:lpwstr>
      </vt:variant>
      <vt:variant>
        <vt:lpwstr/>
      </vt:variant>
      <vt:variant>
        <vt:i4>2490445</vt:i4>
      </vt:variant>
      <vt:variant>
        <vt:i4>186</vt:i4>
      </vt:variant>
      <vt:variant>
        <vt:i4>0</vt:i4>
      </vt:variant>
      <vt:variant>
        <vt:i4>5</vt:i4>
      </vt:variant>
      <vt:variant>
        <vt:lpwstr>http://www.legislation.govt.nz/act/public/1981/0118/latest/DLM56090.html?search=ts_act_medicines_resel&amp;p=1</vt:lpwstr>
      </vt:variant>
      <vt:variant>
        <vt:lpwstr/>
      </vt:variant>
      <vt:variant>
        <vt:i4>7274587</vt:i4>
      </vt:variant>
      <vt:variant>
        <vt:i4>183</vt:i4>
      </vt:variant>
      <vt:variant>
        <vt:i4>0</vt:i4>
      </vt:variant>
      <vt:variant>
        <vt:i4>5</vt:i4>
      </vt:variant>
      <vt:variant>
        <vt:lpwstr>http://www.legislation.govt.nz/act/public/1981/0118/latest/DLM55429.html?search=ts_act_medicines_resel</vt:lpwstr>
      </vt:variant>
      <vt:variant>
        <vt:lpwstr/>
      </vt:variant>
      <vt:variant>
        <vt:i4>3407981</vt:i4>
      </vt:variant>
      <vt:variant>
        <vt:i4>180</vt:i4>
      </vt:variant>
      <vt:variant>
        <vt:i4>0</vt:i4>
      </vt:variant>
      <vt:variant>
        <vt:i4>5</vt:i4>
      </vt:variant>
      <vt:variant>
        <vt:lpwstr>http://www.medsafe.govt.nz/regulatory/fees.asp</vt:lpwstr>
      </vt:variant>
      <vt:variant>
        <vt:lpwstr/>
      </vt:variant>
      <vt:variant>
        <vt:i4>4063319</vt:i4>
      </vt:variant>
      <vt:variant>
        <vt:i4>177</vt:i4>
      </vt:variant>
      <vt:variant>
        <vt:i4>0</vt:i4>
      </vt:variant>
      <vt:variant>
        <vt:i4>5</vt:i4>
      </vt:variant>
      <vt:variant>
        <vt:lpwstr>http://www.legislation.govt.nz/regulation/public/1984/0143/latest/DLM96837.html?search=ts_regulation_medicines_resel&amp;p=1</vt:lpwstr>
      </vt:variant>
      <vt:variant>
        <vt:lpwstr/>
      </vt:variant>
      <vt:variant>
        <vt:i4>7274587</vt:i4>
      </vt:variant>
      <vt:variant>
        <vt:i4>174</vt:i4>
      </vt:variant>
      <vt:variant>
        <vt:i4>0</vt:i4>
      </vt:variant>
      <vt:variant>
        <vt:i4>5</vt:i4>
      </vt:variant>
      <vt:variant>
        <vt:lpwstr>http://www.legislation.govt.nz/act/public/1981/0118/latest/DLM55429.html?search=ts_act_medicines_resel</vt:lpwstr>
      </vt:variant>
      <vt:variant>
        <vt:lpwstr/>
      </vt:variant>
      <vt:variant>
        <vt:i4>131092</vt:i4>
      </vt:variant>
      <vt:variant>
        <vt:i4>171</vt:i4>
      </vt:variant>
      <vt:variant>
        <vt:i4>0</vt:i4>
      </vt:variant>
      <vt:variant>
        <vt:i4>5</vt:i4>
      </vt:variant>
      <vt:variant>
        <vt:lpwstr/>
      </vt:variant>
      <vt:variant>
        <vt:lpwstr>Form1</vt:lpwstr>
      </vt:variant>
      <vt:variant>
        <vt:i4>7274587</vt:i4>
      </vt:variant>
      <vt:variant>
        <vt:i4>168</vt:i4>
      </vt:variant>
      <vt:variant>
        <vt:i4>0</vt:i4>
      </vt:variant>
      <vt:variant>
        <vt:i4>5</vt:i4>
      </vt:variant>
      <vt:variant>
        <vt:lpwstr>http://www.legislation.govt.nz/act/public/1981/0118/latest/DLM55429.html?search=ts_act_medicines_resel</vt:lpwstr>
      </vt:variant>
      <vt:variant>
        <vt:lpwstr/>
      </vt:variant>
      <vt:variant>
        <vt:i4>2424892</vt:i4>
      </vt:variant>
      <vt:variant>
        <vt:i4>165</vt:i4>
      </vt:variant>
      <vt:variant>
        <vt:i4>0</vt:i4>
      </vt:variant>
      <vt:variant>
        <vt:i4>5</vt:i4>
      </vt:variant>
      <vt:variant>
        <vt:lpwstr>http://www.hrc.govt.nz/root/pages_regulatory/Gene_Technology_Advisory_Committee.html</vt:lpwstr>
      </vt:variant>
      <vt:variant>
        <vt:lpwstr/>
      </vt:variant>
      <vt:variant>
        <vt:i4>4915303</vt:i4>
      </vt:variant>
      <vt:variant>
        <vt:i4>162</vt:i4>
      </vt:variant>
      <vt:variant>
        <vt:i4>0</vt:i4>
      </vt:variant>
      <vt:variant>
        <vt:i4>5</vt:i4>
      </vt:variant>
      <vt:variant>
        <vt:lpwstr>http://www.hrc.govt.nz/root/pages_regulatory/Standing_Committee_on_Therapeutic_Trials.html</vt:lpwstr>
      </vt:variant>
      <vt:variant>
        <vt:lpwstr/>
      </vt:variant>
      <vt:variant>
        <vt:i4>6619257</vt:i4>
      </vt:variant>
      <vt:variant>
        <vt:i4>159</vt:i4>
      </vt:variant>
      <vt:variant>
        <vt:i4>0</vt:i4>
      </vt:variant>
      <vt:variant>
        <vt:i4>5</vt:i4>
      </vt:variant>
      <vt:variant>
        <vt:lpwstr>http://www.hrc.govt.nz/</vt:lpwstr>
      </vt:variant>
      <vt:variant>
        <vt:lpwstr/>
      </vt:variant>
      <vt:variant>
        <vt:i4>7274587</vt:i4>
      </vt:variant>
      <vt:variant>
        <vt:i4>156</vt:i4>
      </vt:variant>
      <vt:variant>
        <vt:i4>0</vt:i4>
      </vt:variant>
      <vt:variant>
        <vt:i4>5</vt:i4>
      </vt:variant>
      <vt:variant>
        <vt:lpwstr>http://www.legislation.govt.nz/act/public/1981/0118/latest/DLM55429.html?search=ts_act_medicines_resel</vt:lpwstr>
      </vt:variant>
      <vt:variant>
        <vt:lpwstr/>
      </vt:variant>
      <vt:variant>
        <vt:i4>4391038</vt:i4>
      </vt:variant>
      <vt:variant>
        <vt:i4>153</vt:i4>
      </vt:variant>
      <vt:variant>
        <vt:i4>0</vt:i4>
      </vt:variant>
      <vt:variant>
        <vt:i4>5</vt:i4>
      </vt:variant>
      <vt:variant>
        <vt:lpwstr>http://www.ethicscommittees.health.govt.nz/moh.nsf/indexcm/ethics-home?Open&amp;m_id=1</vt:lpwstr>
      </vt:variant>
      <vt:variant>
        <vt:lpwstr/>
      </vt:variant>
      <vt:variant>
        <vt:i4>7995435</vt:i4>
      </vt:variant>
      <vt:variant>
        <vt:i4>150</vt:i4>
      </vt:variant>
      <vt:variant>
        <vt:i4>0</vt:i4>
      </vt:variant>
      <vt:variant>
        <vt:i4>5</vt:i4>
      </vt:variant>
      <vt:variant>
        <vt:lpwstr>http://www.hdc.org.nz/advocacy</vt:lpwstr>
      </vt:variant>
      <vt:variant>
        <vt:lpwstr/>
      </vt:variant>
      <vt:variant>
        <vt:i4>4391038</vt:i4>
      </vt:variant>
      <vt:variant>
        <vt:i4>147</vt:i4>
      </vt:variant>
      <vt:variant>
        <vt:i4>0</vt:i4>
      </vt:variant>
      <vt:variant>
        <vt:i4>5</vt:i4>
      </vt:variant>
      <vt:variant>
        <vt:lpwstr>http://www.ethicscommittees.health.govt.nz/moh.nsf/indexcm/ethics-home?Open&amp;m_id=1</vt:lpwstr>
      </vt:variant>
      <vt:variant>
        <vt:lpwstr/>
      </vt:variant>
      <vt:variant>
        <vt:i4>131169</vt:i4>
      </vt:variant>
      <vt:variant>
        <vt:i4>144</vt:i4>
      </vt:variant>
      <vt:variant>
        <vt:i4>0</vt:i4>
      </vt:variant>
      <vt:variant>
        <vt:i4>5</vt:i4>
      </vt:variant>
      <vt:variant>
        <vt:lpwstr>http://www.legislation.govt.nz/act/public/1975/0116/latest/DLM436101.html?search=ts_act_Misuse+of+Drugs_resel&amp;p=1&amp;sr=1</vt:lpwstr>
      </vt:variant>
      <vt:variant>
        <vt:lpwstr/>
      </vt:variant>
      <vt:variant>
        <vt:i4>6291486</vt:i4>
      </vt:variant>
      <vt:variant>
        <vt:i4>141</vt:i4>
      </vt:variant>
      <vt:variant>
        <vt:i4>0</vt:i4>
      </vt:variant>
      <vt:variant>
        <vt:i4>5</vt:i4>
      </vt:variant>
      <vt:variant>
        <vt:lpwstr>http://www.legislation.govt.nz/act/public/1975/0116/latest/DLM436106.html?search=ts_act_Misuse+of+Drugs_resel&amp;p=1</vt:lpwstr>
      </vt:variant>
      <vt:variant>
        <vt:lpwstr/>
      </vt:variant>
      <vt:variant>
        <vt:i4>3735676</vt:i4>
      </vt:variant>
      <vt:variant>
        <vt:i4>138</vt:i4>
      </vt:variant>
      <vt:variant>
        <vt:i4>0</vt:i4>
      </vt:variant>
      <vt:variant>
        <vt:i4>5</vt:i4>
      </vt:variant>
      <vt:variant>
        <vt:lpwstr>http://www.ermanz.govt.nz/</vt:lpwstr>
      </vt:variant>
      <vt:variant>
        <vt:lpwstr/>
      </vt:variant>
      <vt:variant>
        <vt:i4>5636108</vt:i4>
      </vt:variant>
      <vt:variant>
        <vt:i4>135</vt:i4>
      </vt:variant>
      <vt:variant>
        <vt:i4>0</vt:i4>
      </vt:variant>
      <vt:variant>
        <vt:i4>5</vt:i4>
      </vt:variant>
      <vt:variant>
        <vt:lpwstr>http://www.legislation.govt.nz/act/public/1996/0030/latest/DLM381222.html</vt:lpwstr>
      </vt:variant>
      <vt:variant>
        <vt:lpwstr/>
      </vt:variant>
      <vt:variant>
        <vt:i4>6094853</vt:i4>
      </vt:variant>
      <vt:variant>
        <vt:i4>132</vt:i4>
      </vt:variant>
      <vt:variant>
        <vt:i4>0</vt:i4>
      </vt:variant>
      <vt:variant>
        <vt:i4>5</vt:i4>
      </vt:variant>
      <vt:variant>
        <vt:lpwstr>http://www.legislation.govt.nz/act/public/1996/0030/latest/DLM382982.html</vt:lpwstr>
      </vt:variant>
      <vt:variant>
        <vt:lpwstr/>
      </vt:variant>
      <vt:variant>
        <vt:i4>7077970</vt:i4>
      </vt:variant>
      <vt:variant>
        <vt:i4>129</vt:i4>
      </vt:variant>
      <vt:variant>
        <vt:i4>0</vt:i4>
      </vt:variant>
      <vt:variant>
        <vt:i4>5</vt:i4>
      </vt:variant>
      <vt:variant>
        <vt:lpwstr>http://www.legislation.govt.nz/act/public/1981/0118/latest/DLM55014.html?search=ts_act_medicines_resel</vt:lpwstr>
      </vt:variant>
      <vt:variant>
        <vt:lpwstr/>
      </vt:variant>
      <vt:variant>
        <vt:i4>4391038</vt:i4>
      </vt:variant>
      <vt:variant>
        <vt:i4>126</vt:i4>
      </vt:variant>
      <vt:variant>
        <vt:i4>0</vt:i4>
      </vt:variant>
      <vt:variant>
        <vt:i4>5</vt:i4>
      </vt:variant>
      <vt:variant>
        <vt:lpwstr>http://www.ethicscommittees.health.govt.nz/moh.nsf/indexcm/ethics-home?Open&amp;m_id=1</vt:lpwstr>
      </vt:variant>
      <vt:variant>
        <vt:lpwstr/>
      </vt:variant>
      <vt:variant>
        <vt:i4>101</vt:i4>
      </vt:variant>
      <vt:variant>
        <vt:i4>123</vt:i4>
      </vt:variant>
      <vt:variant>
        <vt:i4>0</vt:i4>
      </vt:variant>
      <vt:variant>
        <vt:i4>5</vt:i4>
      </vt:variant>
      <vt:variant>
        <vt:lpwstr>mailto:DART@moh.govt.nz</vt:lpwstr>
      </vt:variant>
      <vt:variant>
        <vt:lpwstr/>
      </vt:variant>
      <vt:variant>
        <vt:i4>1376338</vt:i4>
      </vt:variant>
      <vt:variant>
        <vt:i4>120</vt:i4>
      </vt:variant>
      <vt:variant>
        <vt:i4>0</vt:i4>
      </vt:variant>
      <vt:variant>
        <vt:i4>5</vt:i4>
      </vt:variant>
      <vt:variant>
        <vt:lpwstr>http://www.legislation.govt.nz/act/public/1981/0118/latest/DLM54687.html?search=ts_act_Medicines+Act+1981</vt:lpwstr>
      </vt:variant>
      <vt:variant>
        <vt:lpwstr/>
      </vt:variant>
      <vt:variant>
        <vt:i4>7274587</vt:i4>
      </vt:variant>
      <vt:variant>
        <vt:i4>117</vt:i4>
      </vt:variant>
      <vt:variant>
        <vt:i4>0</vt:i4>
      </vt:variant>
      <vt:variant>
        <vt:i4>5</vt:i4>
      </vt:variant>
      <vt:variant>
        <vt:lpwstr>http://www.legislation.govt.nz/act/public/1981/0118/latest/DLM55429.html?search=ts_act_medicines_resel</vt:lpwstr>
      </vt:variant>
      <vt:variant>
        <vt:lpwstr/>
      </vt:variant>
      <vt:variant>
        <vt:i4>1245197</vt:i4>
      </vt:variant>
      <vt:variant>
        <vt:i4>114</vt:i4>
      </vt:variant>
      <vt:variant>
        <vt:i4>0</vt:i4>
      </vt:variant>
      <vt:variant>
        <vt:i4>5</vt:i4>
      </vt:variant>
      <vt:variant>
        <vt:lpwstr>http://www.ema.europa.eu/</vt:lpwstr>
      </vt:variant>
      <vt:variant>
        <vt:lpwstr/>
      </vt:variant>
      <vt:variant>
        <vt:i4>6029313</vt:i4>
      </vt:variant>
      <vt:variant>
        <vt:i4>111</vt:i4>
      </vt:variant>
      <vt:variant>
        <vt:i4>0</vt:i4>
      </vt:variant>
      <vt:variant>
        <vt:i4>5</vt:i4>
      </vt:variant>
      <vt:variant>
        <vt:lpwstr>http://www.emea.europa.eu/pdfs/human/ich/013595en.pdf</vt:lpwstr>
      </vt:variant>
      <vt:variant>
        <vt:lpwstr/>
      </vt:variant>
      <vt:variant>
        <vt:i4>6619257</vt:i4>
      </vt:variant>
      <vt:variant>
        <vt:i4>108</vt:i4>
      </vt:variant>
      <vt:variant>
        <vt:i4>0</vt:i4>
      </vt:variant>
      <vt:variant>
        <vt:i4>5</vt:i4>
      </vt:variant>
      <vt:variant>
        <vt:lpwstr>http://www.hrc.govt.nz/</vt:lpwstr>
      </vt:variant>
      <vt:variant>
        <vt:lpwstr/>
      </vt:variant>
      <vt:variant>
        <vt:i4>7274587</vt:i4>
      </vt:variant>
      <vt:variant>
        <vt:i4>105</vt:i4>
      </vt:variant>
      <vt:variant>
        <vt:i4>0</vt:i4>
      </vt:variant>
      <vt:variant>
        <vt:i4>5</vt:i4>
      </vt:variant>
      <vt:variant>
        <vt:lpwstr>http://www.legislation.govt.nz/act/public/1981/0118/latest/DLM55429.html?search=ts_act_medicines_resel</vt:lpwstr>
      </vt:variant>
      <vt:variant>
        <vt:lpwstr/>
      </vt:variant>
      <vt:variant>
        <vt:i4>5374025</vt:i4>
      </vt:variant>
      <vt:variant>
        <vt:i4>102</vt:i4>
      </vt:variant>
      <vt:variant>
        <vt:i4>0</vt:i4>
      </vt:variant>
      <vt:variant>
        <vt:i4>5</vt:i4>
      </vt:variant>
      <vt:variant>
        <vt:lpwstr>http://www.hrc.govt.nz/root/Ethics/Ethics Overview/HRC_Guidelines_on_Ethics_in_Health_Research.html</vt:lpwstr>
      </vt:variant>
      <vt:variant>
        <vt:lpwstr/>
      </vt:variant>
      <vt:variant>
        <vt:i4>5570653</vt:i4>
      </vt:variant>
      <vt:variant>
        <vt:i4>99</vt:i4>
      </vt:variant>
      <vt:variant>
        <vt:i4>0</vt:i4>
      </vt:variant>
      <vt:variant>
        <vt:i4>5</vt:i4>
      </vt:variant>
      <vt:variant>
        <vt:lpwstr>http://www.ich.org/LOB/media/MEDIA436.pdf</vt:lpwstr>
      </vt:variant>
      <vt:variant>
        <vt:lpwstr/>
      </vt:variant>
      <vt:variant>
        <vt:i4>4522006</vt:i4>
      </vt:variant>
      <vt:variant>
        <vt:i4>96</vt:i4>
      </vt:variant>
      <vt:variant>
        <vt:i4>0</vt:i4>
      </vt:variant>
      <vt:variant>
        <vt:i4>5</vt:i4>
      </vt:variant>
      <vt:variant>
        <vt:lpwstr>http://www.neac.health.govt.nz/moh.nsf/indexcm/neac-resources-ethical-guidelines-for-intervention-studies</vt:lpwstr>
      </vt:variant>
      <vt:variant>
        <vt:lpwstr/>
      </vt:variant>
      <vt:variant>
        <vt:i4>3735579</vt:i4>
      </vt:variant>
      <vt:variant>
        <vt:i4>93</vt:i4>
      </vt:variant>
      <vt:variant>
        <vt:i4>0</vt:i4>
      </vt:variant>
      <vt:variant>
        <vt:i4>5</vt:i4>
      </vt:variant>
      <vt:variant>
        <vt:lpwstr>http://www.ethicscommittees.health.govt.nz/moh.nsf/indexcm/ethics-ethicalprocess?Open&amp;m_id=4</vt:lpwstr>
      </vt:variant>
      <vt:variant>
        <vt:lpwstr/>
      </vt:variant>
      <vt:variant>
        <vt:i4>2293873</vt:i4>
      </vt:variant>
      <vt:variant>
        <vt:i4>90</vt:i4>
      </vt:variant>
      <vt:variant>
        <vt:i4>0</vt:i4>
      </vt:variant>
      <vt:variant>
        <vt:i4>5</vt:i4>
      </vt:variant>
      <vt:variant>
        <vt:lpwstr>http://www.medicinesnz.co.nz/assets/Uploads/compensation-guidelines-0808-final.pdf</vt:lpwstr>
      </vt:variant>
      <vt:variant>
        <vt:lpwstr/>
      </vt:variant>
      <vt:variant>
        <vt:i4>2228300</vt:i4>
      </vt:variant>
      <vt:variant>
        <vt:i4>87</vt:i4>
      </vt:variant>
      <vt:variant>
        <vt:i4>0</vt:i4>
      </vt:variant>
      <vt:variant>
        <vt:i4>5</vt:i4>
      </vt:variant>
      <vt:variant>
        <vt:lpwstr>http://www.ema.europa.eu/docs/en_GB/document_library/Scientific_guideline/2009/09/WC500002988.pdf</vt:lpwstr>
      </vt:variant>
      <vt:variant>
        <vt:lpwstr/>
      </vt:variant>
      <vt:variant>
        <vt:i4>6029313</vt:i4>
      </vt:variant>
      <vt:variant>
        <vt:i4>84</vt:i4>
      </vt:variant>
      <vt:variant>
        <vt:i4>0</vt:i4>
      </vt:variant>
      <vt:variant>
        <vt:i4>5</vt:i4>
      </vt:variant>
      <vt:variant>
        <vt:lpwstr>http://www.emea.europa.eu/pdfs/human/ich/013595en.pdf</vt:lpwstr>
      </vt:variant>
      <vt:variant>
        <vt:lpwstr/>
      </vt:variant>
      <vt:variant>
        <vt:i4>8126509</vt:i4>
      </vt:variant>
      <vt:variant>
        <vt:i4>81</vt:i4>
      </vt:variant>
      <vt:variant>
        <vt:i4>0</vt:i4>
      </vt:variant>
      <vt:variant>
        <vt:i4>5</vt:i4>
      </vt:variant>
      <vt:variant>
        <vt:lpwstr>http://www.legislation.govt.nz/regulation/public/2002/0390/latest/DLM173110.html?search=ts_all@act@bill@regulation_Injury+Prevention,+Rehabilitation+and+Compensation+(Code+of+ACC+Claimants%25e2%2580%2599+Rights)+Notice+2002_resel&amp;p=1&amp;sr=1</vt:lpwstr>
      </vt:variant>
      <vt:variant>
        <vt:lpwstr/>
      </vt:variant>
      <vt:variant>
        <vt:i4>3145845</vt:i4>
      </vt:variant>
      <vt:variant>
        <vt:i4>78</vt:i4>
      </vt:variant>
      <vt:variant>
        <vt:i4>0</vt:i4>
      </vt:variant>
      <vt:variant>
        <vt:i4>5</vt:i4>
      </vt:variant>
      <vt:variant>
        <vt:lpwstr>http://www.privacy.org.nz/health-information-privacy-code/</vt:lpwstr>
      </vt:variant>
      <vt:variant>
        <vt:lpwstr/>
      </vt:variant>
      <vt:variant>
        <vt:i4>4718615</vt:i4>
      </vt:variant>
      <vt:variant>
        <vt:i4>75</vt:i4>
      </vt:variant>
      <vt:variant>
        <vt:i4>0</vt:i4>
      </vt:variant>
      <vt:variant>
        <vt:i4>5</vt:i4>
      </vt:variant>
      <vt:variant>
        <vt:lpwstr>http://www.legislation.govt.nz/regulation/public/1996/0343/latest/DLM225616.html</vt:lpwstr>
      </vt:variant>
      <vt:variant>
        <vt:lpwstr/>
      </vt:variant>
      <vt:variant>
        <vt:i4>2687000</vt:i4>
      </vt:variant>
      <vt:variant>
        <vt:i4>72</vt:i4>
      </vt:variant>
      <vt:variant>
        <vt:i4>0</vt:i4>
      </vt:variant>
      <vt:variant>
        <vt:i4>5</vt:i4>
      </vt:variant>
      <vt:variant>
        <vt:lpwstr>http://www.legislation.govt.nz/act/public/2003/0048/latest/DLM203312.html?search=ts_act_Health+Practitioners_resel&amp;sr=1</vt:lpwstr>
      </vt:variant>
      <vt:variant>
        <vt:lpwstr/>
      </vt:variant>
      <vt:variant>
        <vt:i4>5570572</vt:i4>
      </vt:variant>
      <vt:variant>
        <vt:i4>69</vt:i4>
      </vt:variant>
      <vt:variant>
        <vt:i4>0</vt:i4>
      </vt:variant>
      <vt:variant>
        <vt:i4>5</vt:i4>
      </vt:variant>
      <vt:variant>
        <vt:lpwstr>http://www.legislation.govt.nz/act/public/1994/0088/latest/DLM333584.html</vt:lpwstr>
      </vt:variant>
      <vt:variant>
        <vt:lpwstr/>
      </vt:variant>
      <vt:variant>
        <vt:i4>5636108</vt:i4>
      </vt:variant>
      <vt:variant>
        <vt:i4>66</vt:i4>
      </vt:variant>
      <vt:variant>
        <vt:i4>0</vt:i4>
      </vt:variant>
      <vt:variant>
        <vt:i4>5</vt:i4>
      </vt:variant>
      <vt:variant>
        <vt:lpwstr>http://www.legislation.govt.nz/act/public/1996/0030/latest/DLM381222.html</vt:lpwstr>
      </vt:variant>
      <vt:variant>
        <vt:lpwstr/>
      </vt:variant>
      <vt:variant>
        <vt:i4>6488082</vt:i4>
      </vt:variant>
      <vt:variant>
        <vt:i4>63</vt:i4>
      </vt:variant>
      <vt:variant>
        <vt:i4>0</vt:i4>
      </vt:variant>
      <vt:variant>
        <vt:i4>5</vt:i4>
      </vt:variant>
      <vt:variant>
        <vt:lpwstr>http://www.legislation.govt.nz/act/public/2001/0049/latest/DLM99494.html?search=ts_act_injury+prevention+rehabilitation+compensation_resel</vt:lpwstr>
      </vt:variant>
      <vt:variant>
        <vt:lpwstr/>
      </vt:variant>
      <vt:variant>
        <vt:i4>6094929</vt:i4>
      </vt:variant>
      <vt:variant>
        <vt:i4>60</vt:i4>
      </vt:variant>
      <vt:variant>
        <vt:i4>0</vt:i4>
      </vt:variant>
      <vt:variant>
        <vt:i4>5</vt:i4>
      </vt:variant>
      <vt:variant>
        <vt:lpwstr>http://www.legislation.govt.nz/act/public/2000/0091/latest/DLM80051.html</vt:lpwstr>
      </vt:variant>
      <vt:variant>
        <vt:lpwstr/>
      </vt:variant>
      <vt:variant>
        <vt:i4>6029315</vt:i4>
      </vt:variant>
      <vt:variant>
        <vt:i4>57</vt:i4>
      </vt:variant>
      <vt:variant>
        <vt:i4>0</vt:i4>
      </vt:variant>
      <vt:variant>
        <vt:i4>5</vt:i4>
      </vt:variant>
      <vt:variant>
        <vt:lpwstr>http://www.legislation.govt.nz/act/public/1993/0028/latest/DLM296639.html</vt:lpwstr>
      </vt:variant>
      <vt:variant>
        <vt:lpwstr/>
      </vt:variant>
      <vt:variant>
        <vt:i4>4980833</vt:i4>
      </vt:variant>
      <vt:variant>
        <vt:i4>54</vt:i4>
      </vt:variant>
      <vt:variant>
        <vt:i4>0</vt:i4>
      </vt:variant>
      <vt:variant>
        <vt:i4>5</vt:i4>
      </vt:variant>
      <vt:variant>
        <vt:lpwstr>http://www.legislation.govt.nz/act/public/1981/0118/latest/DLM53795.html?search=ts_act_Medicines+Act+1981_resel</vt:lpwstr>
      </vt:variant>
      <vt:variant>
        <vt:lpwstr/>
      </vt:variant>
      <vt:variant>
        <vt:i4>5963778</vt:i4>
      </vt:variant>
      <vt:variant>
        <vt:i4>51</vt:i4>
      </vt:variant>
      <vt:variant>
        <vt:i4>0</vt:i4>
      </vt:variant>
      <vt:variant>
        <vt:i4>5</vt:i4>
      </vt:variant>
      <vt:variant>
        <vt:lpwstr>http://www.legislation.govt.nz/act/public/2005/0040/latest/DLM345529.html</vt:lpwstr>
      </vt:variant>
      <vt:variant>
        <vt:lpwstr/>
      </vt:variant>
      <vt:variant>
        <vt:i4>1638436</vt:i4>
      </vt:variant>
      <vt:variant>
        <vt:i4>48</vt:i4>
      </vt:variant>
      <vt:variant>
        <vt:i4>0</vt:i4>
      </vt:variant>
      <vt:variant>
        <vt:i4>5</vt:i4>
      </vt:variant>
      <vt:variant>
        <vt:lpwstr>http://www.legislation.govt.nz/regulation/public/1977/0037/latest/link.aspx?search=ts_regulation_Misuse+of+Drugs_resel&amp;p=1&amp;id=DLM55920</vt:lpwstr>
      </vt:variant>
      <vt:variant>
        <vt:lpwstr>DLM55920</vt:lpwstr>
      </vt:variant>
      <vt:variant>
        <vt:i4>7733291</vt:i4>
      </vt:variant>
      <vt:variant>
        <vt:i4>45</vt:i4>
      </vt:variant>
      <vt:variant>
        <vt:i4>0</vt:i4>
      </vt:variant>
      <vt:variant>
        <vt:i4>5</vt:i4>
      </vt:variant>
      <vt:variant>
        <vt:lpwstr>http://www.legislation.govt.nz/act/public/1981/0118/latest/DLM53790.html?search=ts_act_Medicines+Act+1981&amp;sr=1</vt:lpwstr>
      </vt:variant>
      <vt:variant>
        <vt:lpwstr/>
      </vt:variant>
      <vt:variant>
        <vt:i4>7929931</vt:i4>
      </vt:variant>
      <vt:variant>
        <vt:i4>42</vt:i4>
      </vt:variant>
      <vt:variant>
        <vt:i4>0</vt:i4>
      </vt:variant>
      <vt:variant>
        <vt:i4>5</vt:i4>
      </vt:variant>
      <vt:variant>
        <vt:lpwstr>http://www.legislation.govt.nz/act/public/1975/0116/latest/whole.html?search=ts_act_Misuse+of+Drugs_resel&amp;p=1</vt:lpwstr>
      </vt:variant>
      <vt:variant>
        <vt:lpwstr>DLM436576</vt:lpwstr>
      </vt:variant>
      <vt:variant>
        <vt:i4>5505129</vt:i4>
      </vt:variant>
      <vt:variant>
        <vt:i4>39</vt:i4>
      </vt:variant>
      <vt:variant>
        <vt:i4>0</vt:i4>
      </vt:variant>
      <vt:variant>
        <vt:i4>5</vt:i4>
      </vt:variant>
      <vt:variant>
        <vt:lpwstr>http://www.legislation.govt.nz/act/public/1975/0116/latest/link.aspx?search=ts_act_Misuse+of+Drugs_resel&amp;p=1&amp;id=DLM436222</vt:lpwstr>
      </vt:variant>
      <vt:variant>
        <vt:lpwstr>DLM436222</vt:lpwstr>
      </vt:variant>
      <vt:variant>
        <vt:i4>131169</vt:i4>
      </vt:variant>
      <vt:variant>
        <vt:i4>36</vt:i4>
      </vt:variant>
      <vt:variant>
        <vt:i4>0</vt:i4>
      </vt:variant>
      <vt:variant>
        <vt:i4>5</vt:i4>
      </vt:variant>
      <vt:variant>
        <vt:lpwstr>http://www.legislation.govt.nz/act/public/1975/0116/latest/DLM436101.html?search=ts_act_Misuse+of+Drugs_resel&amp;p=1&amp;sr=1</vt:lpwstr>
      </vt:variant>
      <vt:variant>
        <vt:lpwstr/>
      </vt:variant>
      <vt:variant>
        <vt:i4>1310754</vt:i4>
      </vt:variant>
      <vt:variant>
        <vt:i4>33</vt:i4>
      </vt:variant>
      <vt:variant>
        <vt:i4>0</vt:i4>
      </vt:variant>
      <vt:variant>
        <vt:i4>5</vt:i4>
      </vt:variant>
      <vt:variant>
        <vt:lpwstr>http://www.legislation.govt.nz/act/public/1981/0118/latest/whole.html?search=ts_act_Medicines+Act+1981_resel</vt:lpwstr>
      </vt:variant>
      <vt:variant>
        <vt:lpwstr>DLM56033</vt:lpwstr>
      </vt:variant>
      <vt:variant>
        <vt:i4>2490445</vt:i4>
      </vt:variant>
      <vt:variant>
        <vt:i4>30</vt:i4>
      </vt:variant>
      <vt:variant>
        <vt:i4>0</vt:i4>
      </vt:variant>
      <vt:variant>
        <vt:i4>5</vt:i4>
      </vt:variant>
      <vt:variant>
        <vt:lpwstr>http://www.legislation.govt.nz/act/public/1981/0118/latest/DLM56090.html?search=ts_act_medicines_resel&amp;p=1</vt:lpwstr>
      </vt:variant>
      <vt:variant>
        <vt:lpwstr/>
      </vt:variant>
      <vt:variant>
        <vt:i4>6946898</vt:i4>
      </vt:variant>
      <vt:variant>
        <vt:i4>27</vt:i4>
      </vt:variant>
      <vt:variant>
        <vt:i4>0</vt:i4>
      </vt:variant>
      <vt:variant>
        <vt:i4>5</vt:i4>
      </vt:variant>
      <vt:variant>
        <vt:lpwstr>http://www.legislation.govt.nz/act/public/1981/0118/latest/DLM55470.html?search=ts_act_medicines_resel</vt:lpwstr>
      </vt:variant>
      <vt:variant>
        <vt:lpwstr/>
      </vt:variant>
      <vt:variant>
        <vt:i4>7274587</vt:i4>
      </vt:variant>
      <vt:variant>
        <vt:i4>24</vt:i4>
      </vt:variant>
      <vt:variant>
        <vt:i4>0</vt:i4>
      </vt:variant>
      <vt:variant>
        <vt:i4>5</vt:i4>
      </vt:variant>
      <vt:variant>
        <vt:lpwstr>http://www.legislation.govt.nz/act/public/1981/0118/latest/DLM55429.html?search=ts_act_medicines_resel</vt:lpwstr>
      </vt:variant>
      <vt:variant>
        <vt:lpwstr/>
      </vt:variant>
      <vt:variant>
        <vt:i4>6815826</vt:i4>
      </vt:variant>
      <vt:variant>
        <vt:i4>21</vt:i4>
      </vt:variant>
      <vt:variant>
        <vt:i4>0</vt:i4>
      </vt:variant>
      <vt:variant>
        <vt:i4>5</vt:i4>
      </vt:variant>
      <vt:variant>
        <vt:lpwstr>http://www.legislation.govt.nz/act/public/1981/0118/latest/DLM55054.html?search=ts_act_medicines_resel</vt:lpwstr>
      </vt:variant>
      <vt:variant>
        <vt:lpwstr/>
      </vt:variant>
      <vt:variant>
        <vt:i4>3801100</vt:i4>
      </vt:variant>
      <vt:variant>
        <vt:i4>18</vt:i4>
      </vt:variant>
      <vt:variant>
        <vt:i4>0</vt:i4>
      </vt:variant>
      <vt:variant>
        <vt:i4>5</vt:i4>
      </vt:variant>
      <vt:variant>
        <vt:lpwstr>http://www.legislation.govt.nz/act/public/1981/0118/latest/DLM55039.html?search=ts_act_medicines+act_resel&amp;p=1</vt:lpwstr>
      </vt:variant>
      <vt:variant>
        <vt:lpwstr/>
      </vt:variant>
      <vt:variant>
        <vt:i4>2490445</vt:i4>
      </vt:variant>
      <vt:variant>
        <vt:i4>15</vt:i4>
      </vt:variant>
      <vt:variant>
        <vt:i4>0</vt:i4>
      </vt:variant>
      <vt:variant>
        <vt:i4>5</vt:i4>
      </vt:variant>
      <vt:variant>
        <vt:lpwstr>http://www.legislation.govt.nz/act/public/1981/0118/latest/DLM56090.html?search=ts_act_medicines_resel&amp;p=1</vt:lpwstr>
      </vt:variant>
      <vt:variant>
        <vt:lpwstr/>
      </vt:variant>
      <vt:variant>
        <vt:i4>1835090</vt:i4>
      </vt:variant>
      <vt:variant>
        <vt:i4>12</vt:i4>
      </vt:variant>
      <vt:variant>
        <vt:i4>0</vt:i4>
      </vt:variant>
      <vt:variant>
        <vt:i4>5</vt:i4>
      </vt:variant>
      <vt:variant>
        <vt:lpwstr>http://www.legislation.govt.nz/act/public/1981/0118/latest/DLM55001.html?search=ts_act_Medicines+Act+1981</vt:lpwstr>
      </vt:variant>
      <vt:variant>
        <vt:lpwstr/>
      </vt:variant>
      <vt:variant>
        <vt:i4>1376338</vt:i4>
      </vt:variant>
      <vt:variant>
        <vt:i4>9</vt:i4>
      </vt:variant>
      <vt:variant>
        <vt:i4>0</vt:i4>
      </vt:variant>
      <vt:variant>
        <vt:i4>5</vt:i4>
      </vt:variant>
      <vt:variant>
        <vt:lpwstr>http://www.legislation.govt.nz/act/public/1981/0118/latest/DLM54687.html?search=ts_act_Medicines+Act+1981</vt:lpwstr>
      </vt:variant>
      <vt:variant>
        <vt:lpwstr/>
      </vt:variant>
      <vt:variant>
        <vt:i4>4980833</vt:i4>
      </vt:variant>
      <vt:variant>
        <vt:i4>6</vt:i4>
      </vt:variant>
      <vt:variant>
        <vt:i4>0</vt:i4>
      </vt:variant>
      <vt:variant>
        <vt:i4>5</vt:i4>
      </vt:variant>
      <vt:variant>
        <vt:lpwstr>http://www.legislation.govt.nz/act/public/1981/0118/latest/DLM53795.html?search=ts_act_Medicines+Act+1981_resel</vt:lpwstr>
      </vt:variant>
      <vt:variant>
        <vt:lpwstr/>
      </vt:variant>
      <vt:variant>
        <vt:i4>7733291</vt:i4>
      </vt:variant>
      <vt:variant>
        <vt:i4>3</vt:i4>
      </vt:variant>
      <vt:variant>
        <vt:i4>0</vt:i4>
      </vt:variant>
      <vt:variant>
        <vt:i4>5</vt:i4>
      </vt:variant>
      <vt:variant>
        <vt:lpwstr>http://www.legislation.govt.nz/act/public/1981/0118/latest/DLM53790.html?search=ts_act_Medicines+Act+1981&amp;sr=1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Lenz</dc:creator>
  <cp:lastModifiedBy>Slyfield</cp:lastModifiedBy>
  <cp:revision>1</cp:revision>
  <cp:lastPrinted>2015-03-23T22:30:00Z</cp:lastPrinted>
  <dcterms:created xsi:type="dcterms:W3CDTF">2015-03-26T23:26:00Z</dcterms:created>
  <dcterms:modified xsi:type="dcterms:W3CDTF">2015-03-26T23:26:00Z</dcterms:modified>
</cp:coreProperties>
</file>